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5783" w:firstLineChars="400"/>
        <w:rPr>
          <w:b/>
          <w:sz w:val="144"/>
        </w:rPr>
      </w:pPr>
      <w:r>
        <w:rPr>
          <w:b/>
          <w:sz w:val="144"/>
        </w:rPr>
        <mc:AlternateContent>
          <mc:Choice Requires="wps">
            <w:drawing>
              <wp:anchor distT="0" distB="0" distL="114300" distR="114300" simplePos="0" relativeHeight="251664384" behindDoc="0" locked="0" layoutInCell="1" allowOverlap="1">
                <wp:simplePos x="0" y="0"/>
                <wp:positionH relativeFrom="column">
                  <wp:posOffset>-133350</wp:posOffset>
                </wp:positionH>
                <wp:positionV relativeFrom="paragraph">
                  <wp:posOffset>-417195</wp:posOffset>
                </wp:positionV>
                <wp:extent cx="6132830" cy="361950"/>
                <wp:effectExtent l="0" t="0" r="0" b="0"/>
                <wp:wrapNone/>
                <wp:docPr id="9" name="矩形 9"/>
                <wp:cNvGraphicFramePr/>
                <a:graphic xmlns:a="http://schemas.openxmlformats.org/drawingml/2006/main">
                  <a:graphicData uri="http://schemas.microsoft.com/office/word/2010/wordprocessingShape">
                    <wps:wsp>
                      <wps:cNvSpPr>
                        <a:spLocks noChangeArrowheads="1"/>
                      </wps:cNvSpPr>
                      <wps:spPr bwMode="auto">
                        <a:xfrm>
                          <a:off x="0" y="0"/>
                          <a:ext cx="6132830" cy="36195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0.5pt;margin-top:-32.85pt;height:28.5pt;width:482.9pt;z-index:251664384;mso-width-relative:page;mso-height-relative:page;" fillcolor="#FFFFFF" filled="t" stroked="f" coordsize="21600,21600" o:gfxdata="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hx1Vs2QAA&#10;AAoBAAAPAAAAAAAAAAEAIAAAACIAAABkcnMvZG93bnJldi54bWxQSwECFAAUAAAACACHTuJAqJ67&#10;fB0CAAAmBAAADgAAAAAAAAABACAAAAAoAQAAZHJzL2Uyb0RvYy54bWxQSwUGAAAAAAYABgBZAQAA&#10;twUAAAAA&#10;">
                <v:fill on="t" focussize="0,0"/>
                <v:stroke on="f"/>
                <v:imagedata o:title=""/>
                <o:lock v:ext="edit" aspectratio="f"/>
              </v:rect>
            </w:pict>
          </mc:Fallback>
        </mc:AlternateContent>
      </w:r>
      <w:r>
        <w:rPr>
          <w:b/>
          <w:sz w:val="144"/>
        </w:rPr>
        <w:t>JJF</w:t>
      </w:r>
    </w:p>
    <w:p>
      <w:pPr>
        <w:jc w:val="center"/>
        <w:rPr>
          <w:b/>
          <w:spacing w:val="-2"/>
          <w:sz w:val="48"/>
        </w:rPr>
      </w:pPr>
      <w:r>
        <w:rPr>
          <w:b/>
          <w:spacing w:val="-2"/>
          <w:sz w:val="48"/>
        </w:rPr>
        <w:t>中华人民共和国国家计量技术规范</w:t>
      </w:r>
    </w:p>
    <w:p>
      <w:pPr>
        <w:rPr>
          <w:b/>
        </w:rPr>
      </w:pPr>
    </w:p>
    <w:p>
      <w:pPr>
        <w:jc w:val="right"/>
        <w:rPr>
          <w:rFonts w:eastAsia="黑体"/>
          <w:sz w:val="28"/>
          <w:szCs w:val="20"/>
        </w:rPr>
      </w:pPr>
      <w:r>
        <w:rPr>
          <w:b/>
        </w:rPr>
        <mc:AlternateContent>
          <mc:Choice Requires="wps">
            <w:drawing>
              <wp:anchor distT="0" distB="0" distL="114300" distR="114300" simplePos="0" relativeHeight="251659264" behindDoc="0" locked="0" layoutInCell="0" allowOverlap="1">
                <wp:simplePos x="0" y="0"/>
                <wp:positionH relativeFrom="column">
                  <wp:posOffset>0</wp:posOffset>
                </wp:positionH>
                <wp:positionV relativeFrom="paragraph">
                  <wp:posOffset>386715</wp:posOffset>
                </wp:positionV>
                <wp:extent cx="5933440" cy="9525"/>
                <wp:effectExtent l="0" t="0" r="10160" b="9525"/>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flipV="1">
                          <a:off x="0" y="0"/>
                          <a:ext cx="5933440" cy="9525"/>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0pt;margin-top:30.45pt;height:0.75pt;width:467.2pt;z-index:251659264;mso-width-relative:page;mso-height-relative:page;" filled="f" stroked="t" coordsize="21600,21600" o:allowincell="f" o:gfxdata="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V3KErV&#10;AAAABgEAAA8AAAAAAAAAAQAgAAAAIgAAAGRycy9kb3ducmV2LnhtbFBLAQIUABQAAAAIAIdO4kBc&#10;+RPr6gEAALcDAAAOAAAAAAAAAAEAIAAAACQBAABkcnMvZTJvRG9jLnhtbFBLBQYAAAAABgAGAFkB&#10;AACABQAAAAA=&#10;">
                <v:fill on="f" focussize="0,0"/>
                <v:stroke color="#000000" joinstyle="round"/>
                <v:imagedata o:title=""/>
                <o:lock v:ext="edit" aspectratio="f"/>
              </v:line>
            </w:pict>
          </mc:Fallback>
        </mc:AlternateContent>
      </w:r>
      <w:r>
        <w:rPr>
          <w:rFonts w:eastAsia="黑体"/>
          <w:sz w:val="28"/>
          <w:szCs w:val="28"/>
        </w:rPr>
        <w:t>JJFXXXX—</w:t>
      </w:r>
      <w:r>
        <w:rPr>
          <w:rFonts w:eastAsia="黑体"/>
          <w:sz w:val="28"/>
        </w:rPr>
        <w:t>202X</w:t>
      </w:r>
    </w:p>
    <w:p>
      <w:pPr>
        <w:rPr>
          <w:b/>
          <w:sz w:val="30"/>
          <w:szCs w:val="20"/>
        </w:rPr>
      </w:pPr>
    </w:p>
    <w:p>
      <w:pPr>
        <w:jc w:val="center"/>
        <w:rPr>
          <w:b/>
          <w:sz w:val="32"/>
          <w:szCs w:val="20"/>
        </w:rPr>
      </w:pPr>
    </w:p>
    <w:p>
      <w:pPr>
        <w:jc w:val="center"/>
        <w:rPr>
          <w:b/>
          <w:sz w:val="32"/>
          <w:szCs w:val="20"/>
        </w:rPr>
      </w:pPr>
    </w:p>
    <w:p>
      <w:pPr>
        <w:jc w:val="center"/>
        <w:rPr>
          <w:b/>
          <w:sz w:val="32"/>
          <w:szCs w:val="20"/>
        </w:rPr>
      </w:pPr>
    </w:p>
    <w:p>
      <w:pPr>
        <w:jc w:val="center"/>
        <w:rPr>
          <w:b/>
          <w:sz w:val="32"/>
          <w:szCs w:val="20"/>
        </w:rPr>
      </w:pPr>
    </w:p>
    <w:p>
      <w:pPr>
        <w:jc w:val="center"/>
        <w:rPr>
          <w:rFonts w:eastAsia="黑体"/>
          <w:bCs/>
          <w:sz w:val="52"/>
          <w:szCs w:val="52"/>
        </w:rPr>
      </w:pPr>
      <w:r>
        <w:rPr>
          <w:rFonts w:eastAsia="黑体"/>
          <w:bCs/>
          <w:sz w:val="52"/>
          <w:szCs w:val="52"/>
        </w:rPr>
        <w:t>沥青延度试验仪校准规范</w:t>
      </w:r>
    </w:p>
    <w:p>
      <w:pPr>
        <w:ind w:left="437" w:leftChars="208" w:right="388" w:rightChars="185"/>
        <w:jc w:val="center"/>
        <w:rPr>
          <w:b/>
          <w:sz w:val="30"/>
          <w:szCs w:val="20"/>
        </w:rPr>
      </w:pPr>
      <w:r>
        <w:rPr>
          <w:rFonts w:eastAsia="黑体"/>
          <w:sz w:val="28"/>
          <w:szCs w:val="28"/>
        </w:rPr>
        <w:t>Calibration Specification of Tester for Ductility of Bituminous</w:t>
      </w:r>
    </w:p>
    <w:p>
      <w:pPr>
        <w:jc w:val="center"/>
        <w:rPr>
          <w:b/>
          <w:sz w:val="30"/>
          <w:szCs w:val="20"/>
        </w:rPr>
      </w:pPr>
      <w:r>
        <w:rPr>
          <w:b/>
          <w:sz w:val="30"/>
          <w:szCs w:val="20"/>
        </w:rPr>
        <w:t>（征求意见稿）</w:t>
      </w:r>
    </w:p>
    <w:p>
      <w:pPr>
        <w:rPr>
          <w:b/>
          <w:sz w:val="30"/>
          <w:szCs w:val="20"/>
        </w:rPr>
      </w:pPr>
    </w:p>
    <w:p>
      <w:pPr>
        <w:rPr>
          <w:b/>
          <w:sz w:val="30"/>
          <w:szCs w:val="20"/>
        </w:rPr>
      </w:pPr>
    </w:p>
    <w:p>
      <w:pPr>
        <w:rPr>
          <w:b/>
          <w:sz w:val="30"/>
          <w:szCs w:val="20"/>
        </w:rPr>
      </w:pPr>
    </w:p>
    <w:p>
      <w:pPr>
        <w:rPr>
          <w:b/>
          <w:sz w:val="30"/>
          <w:szCs w:val="20"/>
        </w:rPr>
      </w:pPr>
    </w:p>
    <w:p>
      <w:pPr>
        <w:rPr>
          <w:b/>
          <w:sz w:val="30"/>
          <w:szCs w:val="20"/>
        </w:rPr>
      </w:pPr>
    </w:p>
    <w:p>
      <w:pPr>
        <w:rPr>
          <w:b/>
          <w:sz w:val="30"/>
          <w:szCs w:val="20"/>
        </w:rPr>
      </w:pPr>
    </w:p>
    <w:p>
      <w:pPr>
        <w:rPr>
          <w:b/>
          <w:sz w:val="30"/>
          <w:szCs w:val="20"/>
        </w:rPr>
      </w:pPr>
    </w:p>
    <w:p>
      <w:pPr>
        <w:rPr>
          <w:b/>
          <w:sz w:val="30"/>
          <w:szCs w:val="20"/>
        </w:rPr>
      </w:pPr>
    </w:p>
    <w:p>
      <w:pPr>
        <w:rPr>
          <w:b/>
          <w:sz w:val="30"/>
          <w:szCs w:val="20"/>
        </w:rPr>
      </w:pPr>
    </w:p>
    <w:p>
      <w:pPr>
        <w:rPr>
          <w:b/>
          <w:sz w:val="30"/>
          <w:szCs w:val="20"/>
        </w:rPr>
      </w:pPr>
    </w:p>
    <w:p>
      <w:pPr>
        <w:rPr>
          <w:b/>
          <w:sz w:val="30"/>
          <w:szCs w:val="20"/>
        </w:rPr>
      </w:pPr>
    </w:p>
    <w:p>
      <w:pPr>
        <w:rPr>
          <w:b/>
          <w:sz w:val="30"/>
          <w:szCs w:val="20"/>
        </w:rPr>
      </w:pPr>
    </w:p>
    <w:p>
      <w:pPr>
        <w:rPr>
          <w:b/>
          <w:sz w:val="30"/>
          <w:szCs w:val="20"/>
        </w:rPr>
      </w:pPr>
    </w:p>
    <w:p>
      <w:pPr>
        <w:rPr>
          <w:b/>
          <w:sz w:val="30"/>
          <w:szCs w:val="20"/>
        </w:rPr>
      </w:pPr>
    </w:p>
    <w:p>
      <w:pPr>
        <w:rPr>
          <w:b/>
          <w:sz w:val="30"/>
          <w:szCs w:val="20"/>
        </w:rPr>
      </w:pPr>
    </w:p>
    <w:p>
      <w:pPr>
        <w:rPr>
          <w:b/>
          <w:sz w:val="30"/>
          <w:szCs w:val="20"/>
        </w:rPr>
      </w:pPr>
    </w:p>
    <w:p>
      <w:pPr>
        <w:jc w:val="center"/>
        <w:rPr>
          <w:b/>
          <w:sz w:val="30"/>
          <w:szCs w:val="20"/>
        </w:rPr>
      </w:pPr>
    </w:p>
    <w:p>
      <w:pPr>
        <w:ind w:right="-103" w:rightChars="-49"/>
        <w:rPr>
          <w:rFonts w:eastAsia="黑体"/>
          <w:sz w:val="28"/>
          <w:szCs w:val="20"/>
        </w:rPr>
      </w:pPr>
      <w:r>
        <w:rPr>
          <w:rFonts w:eastAsia="黑体"/>
          <w:sz w:val="28"/>
        </w:rPr>
        <w:t xml:space="preserve">202×-××-××发布                       </w:t>
      </w:r>
      <w:r>
        <w:rPr>
          <w:rFonts w:eastAsia="黑体"/>
          <w:sz w:val="28"/>
        </w:rPr>
        <w:tab/>
      </w:r>
      <w:r>
        <w:rPr>
          <w:rFonts w:eastAsia="黑体"/>
          <w:sz w:val="28"/>
        </w:rPr>
        <w:t>202×-××-××实施</w:t>
      </w:r>
    </w:p>
    <w:p>
      <w:pPr>
        <w:jc w:val="center"/>
        <w:rPr>
          <w:b/>
          <w:sz w:val="36"/>
        </w:rPr>
      </w:pPr>
      <w:r>
        <w:rPr>
          <w:sz w:val="44"/>
          <w:szCs w:val="44"/>
        </w:rPr>
        <mc:AlternateContent>
          <mc:Choice Requires="wps">
            <w:drawing>
              <wp:anchor distT="0" distB="0" distL="114300" distR="114300" simplePos="0" relativeHeight="251660288" behindDoc="0" locked="0" layoutInCell="0" allowOverlap="1">
                <wp:simplePos x="0" y="0"/>
                <wp:positionH relativeFrom="column">
                  <wp:posOffset>0</wp:posOffset>
                </wp:positionH>
                <wp:positionV relativeFrom="paragraph">
                  <wp:posOffset>0</wp:posOffset>
                </wp:positionV>
                <wp:extent cx="5829300" cy="0"/>
                <wp:effectExtent l="0" t="0" r="0" b="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pt;margin-top:0pt;height:0pt;width:459pt;z-index:251660288;mso-width-relative:page;mso-height-relative:page;" filled="f" stroked="t" coordsize="21600,21600" o:allowincell="f" o:gfxdata="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XsXZP0AAAAAIBAAAPAAAA&#10;AAAAAAEAIAAAACIAAABkcnMvZG93bnJldi54bWxQSwECFAAUAAAACACHTuJA57iukeQBAACqAwAA&#10;DgAAAAAAAAABACAAAAAfAQAAZHJzL2Uyb0RvYy54bWxQSwUGAAAAAAYABgBZAQAAdQUAAAAA&#10;">
                <v:fill on="f" focussize="0,0"/>
                <v:stroke color="#000000" joinstyle="round"/>
                <v:imagedata o:title=""/>
                <o:lock v:ext="edit" aspectratio="f"/>
              </v:line>
            </w:pict>
          </mc:Fallback>
        </mc:AlternateContent>
      </w:r>
      <w:r>
        <w:rPr>
          <w:sz w:val="44"/>
          <w:szCs w:val="44"/>
        </w:rPr>
        <w:t xml:space="preserve">国家市场监督管理总局  </w:t>
      </w:r>
      <w:r>
        <w:rPr>
          <w:rFonts w:eastAsia="黑体"/>
          <w:sz w:val="28"/>
          <w:szCs w:val="28"/>
        </w:rPr>
        <w:t>发 布</w:t>
      </w:r>
    </w:p>
    <w:p>
      <w:pPr>
        <w:rPr>
          <w:b/>
        </w:rPr>
      </w:pPr>
    </w:p>
    <w:p>
      <w:pPr>
        <w:jc w:val="center"/>
        <w:rPr>
          <w:b/>
        </w:rPr>
        <w:sectPr>
          <w:headerReference r:id="rId4" w:type="first"/>
          <w:footerReference r:id="rId6" w:type="first"/>
          <w:headerReference r:id="rId3" w:type="default"/>
          <w:footerReference r:id="rId5" w:type="even"/>
          <w:pgSz w:w="11906" w:h="16838"/>
          <w:pgMar w:top="1468" w:right="1134" w:bottom="1440" w:left="1531" w:header="944" w:footer="992" w:gutter="0"/>
          <w:pgNumType w:fmt="upperRoman" w:start="1"/>
          <w:cols w:space="720" w:num="1"/>
          <w:docGrid w:linePitch="312" w:charSpace="0"/>
        </w:sectPr>
      </w:pPr>
    </w:p>
    <w:p>
      <w:pPr>
        <w:jc w:val="center"/>
        <w:rPr>
          <w:b/>
        </w:rPr>
        <w:sectPr>
          <w:pgSz w:w="11906" w:h="16838"/>
          <w:pgMar w:top="1469" w:right="1134" w:bottom="1440" w:left="1531" w:header="941" w:footer="992" w:gutter="0"/>
          <w:pgNumType w:fmt="upperRoman" w:start="1"/>
          <w:cols w:space="720" w:num="1"/>
          <w:titlePg/>
          <w:docGrid w:linePitch="312" w:charSpace="0"/>
        </w:sectPr>
      </w:pPr>
    </w:p>
    <w:p>
      <w:pPr>
        <w:rPr>
          <w:rFonts w:eastAsia="黑体"/>
          <w:bCs/>
          <w:sz w:val="44"/>
          <w:szCs w:val="44"/>
        </w:rPr>
      </w:pPr>
      <w:r>
        <w:rPr>
          <w:b/>
        </w:rPr>
        <mc:AlternateContent>
          <mc:Choice Requires="wps">
            <w:drawing>
              <wp:anchor distT="0" distB="0" distL="114300" distR="114300" simplePos="0" relativeHeight="251662336" behindDoc="0" locked="0" layoutInCell="1" allowOverlap="1">
                <wp:simplePos x="0" y="0"/>
                <wp:positionH relativeFrom="column">
                  <wp:posOffset>3619500</wp:posOffset>
                </wp:positionH>
                <wp:positionV relativeFrom="paragraph">
                  <wp:posOffset>7620</wp:posOffset>
                </wp:positionV>
                <wp:extent cx="1656080" cy="790575"/>
                <wp:effectExtent l="19050" t="19050" r="20320" b="2857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656080" cy="790575"/>
                        </a:xfrm>
                        <a:prstGeom prst="rect">
                          <a:avLst/>
                        </a:prstGeom>
                        <a:solidFill>
                          <a:srgbClr val="FFFFFF"/>
                        </a:solidFill>
                        <a:ln w="38100" cmpd="dbl">
                          <a:solidFill>
                            <a:srgbClr val="000000"/>
                          </a:solidFill>
                          <a:miter lim="800000"/>
                        </a:ln>
                      </wps:spPr>
                      <wps:txbx>
                        <w:txbxContent>
                          <w:p>
                            <w:pPr>
                              <w:spacing w:before="120" w:beforeLines="50"/>
                              <w:jc w:val="center"/>
                              <w:rPr>
                                <w:rFonts w:ascii="黑体" w:eastAsia="黑体"/>
                                <w:sz w:val="28"/>
                                <w:szCs w:val="28"/>
                              </w:rPr>
                            </w:pPr>
                            <w:r>
                              <w:rPr>
                                <w:rFonts w:hint="eastAsia" w:ascii="黑体" w:eastAsia="黑体"/>
                                <w:sz w:val="28"/>
                                <w:szCs w:val="28"/>
                              </w:rPr>
                              <w:t>JJFXXXX-20</w:t>
                            </w:r>
                            <w:r>
                              <w:rPr>
                                <w:rFonts w:ascii="黑体" w:eastAsia="黑体"/>
                                <w:sz w:val="28"/>
                                <w:szCs w:val="28"/>
                              </w:rPr>
                              <w:t>2</w:t>
                            </w:r>
                            <w:r>
                              <w:rPr>
                                <w:rFonts w:hint="eastAsia" w:ascii="黑体" w:eastAsia="黑体"/>
                                <w:sz w:val="28"/>
                                <w:szCs w:val="28"/>
                              </w:rPr>
                              <w:t>X</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85pt;margin-top:0.6pt;height:62.25pt;width:130.4pt;z-index:251662336;mso-width-relative:page;mso-height-relative:page;" fillcolor="#FFFFFF" filled="t" stroked="t" coordsize="21600,21600" o:gfxdata="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1gmz79YAAAAJAQAADwAAAAAAAAABACAA&#10;AAAiAAAAZHJzL2Rvd25yZXYueG1sUEsBAhQAFAAAAAgAh07iQBU/ynZIAgAAkwQAAA4AAAAAAAAA&#10;AQAgAAAAJQEAAGRycy9lMm9Eb2MueG1sUEsFBgAAAAAGAAYAWQEAAN8FAAAAAA==&#10;">
                <v:fill on="t" focussize="0,0"/>
                <v:stroke weight="3pt" color="#000000" linestyle="thinThin" miterlimit="8" joinstyle="miter"/>
                <v:imagedata o:title=""/>
                <o:lock v:ext="edit" aspectratio="f"/>
                <v:textbox>
                  <w:txbxContent>
                    <w:p>
                      <w:pPr>
                        <w:spacing w:before="120" w:beforeLines="50"/>
                        <w:jc w:val="center"/>
                        <w:rPr>
                          <w:rFonts w:ascii="黑体" w:eastAsia="黑体"/>
                          <w:sz w:val="28"/>
                          <w:szCs w:val="28"/>
                        </w:rPr>
                      </w:pPr>
                      <w:r>
                        <w:rPr>
                          <w:rFonts w:hint="eastAsia" w:ascii="黑体" w:eastAsia="黑体"/>
                          <w:sz w:val="28"/>
                          <w:szCs w:val="28"/>
                        </w:rPr>
                        <w:t>JJFXXXX-20</w:t>
                      </w:r>
                      <w:r>
                        <w:rPr>
                          <w:rFonts w:ascii="黑体" w:eastAsia="黑体"/>
                          <w:sz w:val="28"/>
                          <w:szCs w:val="28"/>
                        </w:rPr>
                        <w:t>2</w:t>
                      </w:r>
                      <w:r>
                        <w:rPr>
                          <w:rFonts w:hint="eastAsia" w:ascii="黑体" w:eastAsia="黑体"/>
                          <w:sz w:val="28"/>
                          <w:szCs w:val="28"/>
                        </w:rPr>
                        <w:t>X</w:t>
                      </w:r>
                    </w:p>
                  </w:txbxContent>
                </v:textbox>
              </v:shape>
            </w:pict>
          </mc:Fallback>
        </mc:AlternateContent>
      </w:r>
      <w:r>
        <w:rPr>
          <w:rFonts w:eastAsia="黑体"/>
          <w:bCs/>
          <w:sz w:val="44"/>
          <w:szCs w:val="44"/>
        </w:rPr>
        <w:t>沥青延度试验仪校准规范</w:t>
      </w:r>
    </w:p>
    <w:p>
      <w:pPr>
        <w:rPr>
          <w:rFonts w:eastAsia="黑体"/>
          <w:bCs/>
          <w:sz w:val="44"/>
          <w:szCs w:val="44"/>
        </w:rPr>
      </w:pPr>
    </w:p>
    <w:p>
      <w:pPr>
        <w:spacing w:line="400" w:lineRule="exact"/>
        <w:rPr>
          <w:rFonts w:eastAsia="黑体"/>
          <w:sz w:val="28"/>
          <w:szCs w:val="28"/>
        </w:rPr>
      </w:pPr>
      <w:r>
        <w:rPr>
          <w:rFonts w:eastAsia="黑体"/>
          <w:sz w:val="28"/>
          <w:szCs w:val="28"/>
        </w:rPr>
        <w:t>Calibration Specification of</w:t>
      </w:r>
    </w:p>
    <w:p>
      <w:pPr>
        <w:spacing w:line="400" w:lineRule="exact"/>
        <w:rPr>
          <w:b/>
          <w:sz w:val="28"/>
        </w:rPr>
      </w:pPr>
      <w:r>
        <w:rPr>
          <w:rFonts w:eastAsia="黑体"/>
          <w:sz w:val="28"/>
          <w:szCs w:val="28"/>
        </w:rPr>
        <w:t>Tester for Ductility of Bituminous</w:t>
      </w:r>
      <w:r>
        <w:rPr>
          <w:b/>
        </w:rPr>
        <w:t xml:space="preserve"> </w:t>
      </w:r>
      <w:r>
        <w:rPr>
          <w:b/>
        </w:rPr>
        <mc:AlternateContent>
          <mc:Choice Requires="wps">
            <w:drawing>
              <wp:anchor distT="0" distB="0" distL="114300" distR="114300" simplePos="0" relativeHeight="251661312" behindDoc="0" locked="0" layoutInCell="1" allowOverlap="1">
                <wp:simplePos x="0" y="0"/>
                <wp:positionH relativeFrom="column">
                  <wp:posOffset>54610</wp:posOffset>
                </wp:positionH>
                <wp:positionV relativeFrom="page">
                  <wp:posOffset>2299970</wp:posOffset>
                </wp:positionV>
                <wp:extent cx="5756910" cy="9525"/>
                <wp:effectExtent l="0" t="0" r="15240" b="952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56910" cy="952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3pt;margin-top:181.1pt;height:0.75pt;width:453.3pt;mso-position-vertical-relative:page;z-index:251661312;mso-width-relative:page;mso-height-relative:page;" filled="f" stroked="t" coordsize="21600,21600" o:gfxdata="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KP8uvYAAAA&#10;CQEAAA8AAAAAAAAAAQAgAAAAIgAAAGRycy9kb3ducmV2LnhtbFBLAQIUABQAAAAIAIdO4kBoM6gR&#10;5AEAAK0DAAAOAAAAAAAAAAEAIAAAACcBAABkcnMvZTJvRG9jLnhtbFBLBQYAAAAABgAGAFkBAAB9&#10;BQAAAAA=&#10;">
                <v:fill on="f" focussize="0,0"/>
                <v:stroke color="#000000" joinstyle="round"/>
                <v:imagedata o:title=""/>
                <o:lock v:ext="edit" aspectratio="f"/>
              </v:line>
            </w:pict>
          </mc:Fallback>
        </mc:AlternateContent>
      </w:r>
    </w:p>
    <w:p>
      <w:pPr>
        <w:spacing w:line="400" w:lineRule="exact"/>
        <w:rPr>
          <w:b/>
          <w:sz w:val="32"/>
          <w:szCs w:val="20"/>
        </w:rPr>
      </w:pPr>
    </w:p>
    <w:p>
      <w:pPr>
        <w:rPr>
          <w:b/>
          <w:sz w:val="28"/>
          <w:szCs w:val="20"/>
        </w:rPr>
      </w:pPr>
    </w:p>
    <w:p>
      <w:pPr>
        <w:rPr>
          <w:b/>
          <w:sz w:val="28"/>
          <w:szCs w:val="20"/>
        </w:rPr>
      </w:pPr>
    </w:p>
    <w:p>
      <w:pPr>
        <w:rPr>
          <w:b/>
          <w:sz w:val="28"/>
          <w:szCs w:val="20"/>
        </w:rPr>
      </w:pPr>
    </w:p>
    <w:p>
      <w:pPr>
        <w:rPr>
          <w:b/>
          <w:sz w:val="28"/>
          <w:szCs w:val="20"/>
        </w:rPr>
      </w:pPr>
    </w:p>
    <w:p>
      <w:pPr>
        <w:spacing w:line="360" w:lineRule="auto"/>
        <w:rPr>
          <w:rFonts w:eastAsia="黑体"/>
          <w:sz w:val="28"/>
        </w:rPr>
      </w:pPr>
      <w:r>
        <w:rPr>
          <w:rFonts w:eastAsia="黑体"/>
          <w:sz w:val="28"/>
        </w:rPr>
        <w:t>归口单位：全国新材料与纳米计量技术委员会</w:t>
      </w:r>
    </w:p>
    <w:p>
      <w:pPr>
        <w:spacing w:line="360" w:lineRule="auto"/>
        <w:rPr>
          <w:rFonts w:eastAsia="黑体"/>
          <w:sz w:val="28"/>
        </w:rPr>
      </w:pPr>
      <w:r>
        <w:rPr>
          <w:rFonts w:eastAsia="黑体"/>
          <w:sz w:val="28"/>
        </w:rPr>
        <w:t>主要起草单位：</w:t>
      </w:r>
    </w:p>
    <w:p>
      <w:pPr>
        <w:spacing w:line="360" w:lineRule="auto"/>
        <w:ind w:firstLine="1960" w:firstLineChars="700"/>
        <w:rPr>
          <w:rFonts w:eastAsia="黑体"/>
          <w:sz w:val="28"/>
        </w:rPr>
      </w:pPr>
    </w:p>
    <w:p>
      <w:pPr>
        <w:spacing w:line="360" w:lineRule="auto"/>
        <w:ind w:firstLine="1960" w:firstLineChars="700"/>
        <w:rPr>
          <w:rFonts w:eastAsia="黑体"/>
          <w:sz w:val="28"/>
        </w:rPr>
      </w:pPr>
      <w:bookmarkStart w:id="35" w:name="_GoBack"/>
      <w:bookmarkEnd w:id="35"/>
    </w:p>
    <w:p>
      <w:pPr>
        <w:spacing w:line="360" w:lineRule="auto"/>
        <w:rPr>
          <w:rFonts w:eastAsia="黑体"/>
          <w:sz w:val="28"/>
        </w:rPr>
      </w:pPr>
    </w:p>
    <w:p>
      <w:pPr>
        <w:spacing w:line="360" w:lineRule="auto"/>
        <w:rPr>
          <w:rFonts w:eastAsia="黑体"/>
          <w:sz w:val="28"/>
        </w:rPr>
      </w:pPr>
    </w:p>
    <w:p>
      <w:pPr>
        <w:spacing w:line="360" w:lineRule="auto"/>
        <w:ind w:firstLine="826" w:firstLineChars="295"/>
        <w:rPr>
          <w:rFonts w:eastAsia="黑体"/>
          <w:sz w:val="28"/>
        </w:rPr>
      </w:pPr>
    </w:p>
    <w:p>
      <w:pPr>
        <w:spacing w:line="360" w:lineRule="auto"/>
        <w:ind w:firstLine="42" w:firstLineChars="15"/>
        <w:rPr>
          <w:rFonts w:eastAsia="黑体"/>
          <w:sz w:val="28"/>
          <w:szCs w:val="20"/>
        </w:rPr>
      </w:pPr>
      <w:r>
        <w:rPr>
          <w:rFonts w:eastAsia="黑体"/>
          <w:sz w:val="28"/>
        </w:rPr>
        <w:t>参加起草单位：</w:t>
      </w:r>
      <w:r>
        <w:rPr>
          <w:rFonts w:eastAsia="黑体"/>
          <w:sz w:val="28"/>
          <w:szCs w:val="20"/>
        </w:rPr>
        <w:t xml:space="preserve"> </w:t>
      </w:r>
    </w:p>
    <w:p>
      <w:pPr>
        <w:spacing w:line="360" w:lineRule="auto"/>
        <w:rPr>
          <w:b/>
          <w:sz w:val="28"/>
          <w:szCs w:val="20"/>
        </w:rPr>
      </w:pPr>
    </w:p>
    <w:p>
      <w:pPr>
        <w:spacing w:line="360" w:lineRule="auto"/>
        <w:ind w:firstLine="573"/>
        <w:rPr>
          <w:b/>
          <w:sz w:val="28"/>
          <w:szCs w:val="20"/>
        </w:rPr>
      </w:pPr>
    </w:p>
    <w:p>
      <w:pPr>
        <w:rPr>
          <w:b/>
          <w:sz w:val="28"/>
          <w:szCs w:val="20"/>
        </w:rPr>
      </w:pPr>
    </w:p>
    <w:p>
      <w:pPr>
        <w:rPr>
          <w:b/>
          <w:sz w:val="28"/>
          <w:szCs w:val="20"/>
        </w:rPr>
      </w:pPr>
    </w:p>
    <w:p>
      <w:pPr>
        <w:rPr>
          <w:b/>
          <w:sz w:val="28"/>
          <w:szCs w:val="20"/>
        </w:rPr>
      </w:pPr>
    </w:p>
    <w:p>
      <w:pPr>
        <w:rPr>
          <w:b/>
          <w:sz w:val="28"/>
          <w:szCs w:val="20"/>
        </w:rPr>
      </w:pPr>
    </w:p>
    <w:p>
      <w:pPr>
        <w:rPr>
          <w:b/>
          <w:sz w:val="28"/>
          <w:szCs w:val="20"/>
        </w:rPr>
      </w:pPr>
    </w:p>
    <w:p>
      <w:pPr>
        <w:rPr>
          <w:b/>
          <w:sz w:val="28"/>
          <w:szCs w:val="20"/>
        </w:rPr>
      </w:pPr>
    </w:p>
    <w:p>
      <w:pPr>
        <w:rPr>
          <w:b/>
          <w:sz w:val="28"/>
          <w:szCs w:val="20"/>
        </w:rPr>
      </w:pPr>
    </w:p>
    <w:p>
      <w:pPr>
        <w:rPr>
          <w:b/>
          <w:sz w:val="28"/>
          <w:szCs w:val="20"/>
        </w:rPr>
      </w:pPr>
    </w:p>
    <w:p>
      <w:pPr>
        <w:rPr>
          <w:b/>
          <w:sz w:val="28"/>
          <w:szCs w:val="20"/>
        </w:rPr>
      </w:pPr>
    </w:p>
    <w:p>
      <w:pPr>
        <w:rPr>
          <w:b/>
          <w:sz w:val="28"/>
          <w:szCs w:val="20"/>
        </w:rPr>
      </w:pPr>
    </w:p>
    <w:p>
      <w:pPr>
        <w:spacing w:line="400" w:lineRule="exact"/>
        <w:rPr>
          <w:rFonts w:eastAsiaTheme="minorEastAsia"/>
          <w:sz w:val="28"/>
        </w:rPr>
      </w:pPr>
      <w:r>
        <w:rPr>
          <w:rFonts w:eastAsiaTheme="minorEastAsia"/>
          <w:sz w:val="28"/>
        </w:rPr>
        <w:t>本规范委托全国新材料与纳米计量技术委员会负责解释</w:t>
      </w:r>
      <w:r>
        <w:rPr>
          <w:rFonts w:eastAsiaTheme="minorEastAsia"/>
          <w:sz w:val="28"/>
        </w:rPr>
        <mc:AlternateContent>
          <mc:Choice Requires="wps">
            <w:drawing>
              <wp:anchor distT="0" distB="0" distL="114300" distR="114300" simplePos="0" relativeHeight="251663360" behindDoc="0" locked="0" layoutInCell="1" allowOverlap="1">
                <wp:simplePos x="0" y="0"/>
                <wp:positionH relativeFrom="column">
                  <wp:posOffset>2637790</wp:posOffset>
                </wp:positionH>
                <wp:positionV relativeFrom="paragraph">
                  <wp:posOffset>748665</wp:posOffset>
                </wp:positionV>
                <wp:extent cx="419100" cy="352425"/>
                <wp:effectExtent l="0" t="0" r="0" b="0"/>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419100" cy="35242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07.7pt;margin-top:58.95pt;height:27.75pt;width:33pt;z-index:251663360;mso-width-relative:page;mso-height-relative:page;" fillcolor="#FFFFFF" filled="t" stroked="f" coordsize="21600,21600" o:gfxdata="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d6Ney2AAAAAsB&#10;AAAPAAAAAAAAAAEAIAAAACIAAABkcnMvZG93bnJldi54bWxQSwECFAAUAAAACACHTuJASlV5LRsC&#10;AAAlBAAADgAAAAAAAAABACAAAAAnAQAAZHJzL2Uyb0RvYy54bWxQSwUGAAAAAAYABgBZAQAAtAUA&#10;AAAA&#10;">
                <v:fill on="t" focussize="0,0"/>
                <v:stroke on="f"/>
                <v:imagedata o:title=""/>
                <o:lock v:ext="edit" aspectratio="f"/>
              </v:rect>
            </w:pict>
          </mc:Fallback>
        </mc:AlternateContent>
      </w:r>
    </w:p>
    <w:p>
      <w:pPr>
        <w:spacing w:line="400" w:lineRule="exact"/>
        <w:rPr>
          <w:b/>
        </w:rPr>
        <w:sectPr>
          <w:type w:val="continuous"/>
          <w:pgSz w:w="11906" w:h="16838"/>
          <w:pgMar w:top="1468" w:right="1134" w:bottom="1440" w:left="1531" w:header="944" w:footer="992" w:gutter="0"/>
          <w:pgNumType w:fmt="upperRoman" w:start="1"/>
          <w:cols w:space="720" w:num="1"/>
          <w:docGrid w:linePitch="312" w:charSpace="0"/>
        </w:sectPr>
      </w:pPr>
    </w:p>
    <w:p>
      <w:pPr>
        <w:spacing w:line="400" w:lineRule="exact"/>
        <w:rPr>
          <w:b/>
        </w:rPr>
      </w:pPr>
    </w:p>
    <w:p>
      <w:pPr>
        <w:tabs>
          <w:tab w:val="left" w:pos="2050"/>
        </w:tabs>
        <w:spacing w:line="360" w:lineRule="auto"/>
        <w:ind w:firstLine="843" w:firstLineChars="400"/>
        <w:rPr>
          <w:b/>
          <w:szCs w:val="20"/>
        </w:rPr>
      </w:pPr>
    </w:p>
    <w:p>
      <w:pPr>
        <w:tabs>
          <w:tab w:val="left" w:pos="2050"/>
        </w:tabs>
        <w:spacing w:line="360" w:lineRule="auto"/>
        <w:rPr>
          <w:b/>
          <w:sz w:val="28"/>
          <w:szCs w:val="20"/>
        </w:rPr>
      </w:pPr>
      <w:r>
        <w:rPr>
          <w:rFonts w:eastAsia="黑体"/>
          <w:sz w:val="28"/>
        </w:rPr>
        <w:t>本规范主要起草人</w:t>
      </w:r>
      <w:r>
        <w:rPr>
          <w:b/>
          <w:sz w:val="28"/>
        </w:rPr>
        <w:t>：</w:t>
      </w:r>
    </w:p>
    <w:p>
      <w:pPr>
        <w:spacing w:line="360" w:lineRule="auto"/>
        <w:ind w:firstLine="60"/>
        <w:rPr>
          <w:rFonts w:eastAsia="黑体"/>
          <w:sz w:val="28"/>
        </w:rPr>
      </w:pPr>
      <w:r>
        <w:rPr>
          <w:rFonts w:eastAsia="黑体"/>
          <w:sz w:val="28"/>
        </w:rPr>
        <w:t>参加起草人：</w:t>
      </w: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pPr>
    </w:p>
    <w:p>
      <w:pPr>
        <w:rPr>
          <w:b/>
        </w:rPr>
        <w:sectPr>
          <w:pgSz w:w="11906" w:h="16838"/>
          <w:pgMar w:top="1559" w:right="1134" w:bottom="1440" w:left="1531" w:header="779" w:footer="992" w:gutter="0"/>
          <w:pgNumType w:fmt="upperRoman" w:start="1"/>
          <w:cols w:space="720" w:num="1"/>
          <w:titlePg/>
          <w:docGrid w:linePitch="312" w:charSpace="0"/>
        </w:sectPr>
      </w:pPr>
    </w:p>
    <w:p>
      <w:pPr>
        <w:snapToGrid w:val="0"/>
        <w:spacing w:line="360" w:lineRule="auto"/>
        <w:jc w:val="center"/>
        <w:rPr>
          <w:b/>
          <w:sz w:val="24"/>
        </w:rPr>
      </w:pPr>
    </w:p>
    <w:p>
      <w:pPr>
        <w:snapToGrid w:val="0"/>
        <w:spacing w:line="360" w:lineRule="auto"/>
        <w:jc w:val="center"/>
        <w:rPr>
          <w:rFonts w:eastAsia="黑体"/>
          <w:sz w:val="44"/>
          <w:szCs w:val="44"/>
        </w:rPr>
      </w:pPr>
      <w:r>
        <w:rPr>
          <w:rFonts w:eastAsia="黑体"/>
          <w:sz w:val="44"/>
          <w:szCs w:val="44"/>
        </w:rPr>
        <w:t>目   录</w:t>
      </w:r>
    </w:p>
    <w:p>
      <w:pPr>
        <w:pStyle w:val="16"/>
        <w:rPr>
          <w:rFonts w:eastAsiaTheme="minorEastAsia"/>
          <w:szCs w:val="22"/>
        </w:rPr>
      </w:pPr>
      <w:r>
        <w:rPr>
          <w:sz w:val="24"/>
        </w:rPr>
        <w:fldChar w:fldCharType="begin"/>
      </w:r>
      <w:r>
        <w:rPr>
          <w:sz w:val="24"/>
        </w:rPr>
        <w:instrText xml:space="preserve"> TOC \o "1-3" \h \z \u </w:instrText>
      </w:r>
      <w:r>
        <w:rPr>
          <w:sz w:val="24"/>
        </w:rPr>
        <w:fldChar w:fldCharType="separate"/>
      </w:r>
      <w:r>
        <w:fldChar w:fldCharType="begin"/>
      </w:r>
      <w:r>
        <w:instrText xml:space="preserve"> HYPERLINK \l "_Toc180395250" </w:instrText>
      </w:r>
      <w:r>
        <w:fldChar w:fldCharType="separate"/>
      </w:r>
      <w:r>
        <w:rPr>
          <w:rStyle w:val="27"/>
          <w:rFonts w:eastAsiaTheme="minorEastAsia"/>
          <w:color w:val="auto"/>
        </w:rPr>
        <w:t>引言</w:t>
      </w:r>
      <w:r>
        <w:rPr>
          <w:rFonts w:eastAsiaTheme="minorEastAsia"/>
        </w:rPr>
        <w:tab/>
      </w:r>
      <w:r>
        <w:rPr>
          <w:rFonts w:eastAsiaTheme="minorEastAsia"/>
        </w:rPr>
        <w:fldChar w:fldCharType="begin"/>
      </w:r>
      <w:r>
        <w:rPr>
          <w:rFonts w:eastAsiaTheme="minorEastAsia"/>
        </w:rPr>
        <w:instrText xml:space="preserve"> PAGEREF _Toc180395250 \h </w:instrText>
      </w:r>
      <w:r>
        <w:rPr>
          <w:rFonts w:eastAsiaTheme="minorEastAsia"/>
        </w:rPr>
        <w:fldChar w:fldCharType="separate"/>
      </w:r>
      <w:r>
        <w:rPr>
          <w:rFonts w:eastAsiaTheme="minorEastAsia"/>
        </w:rPr>
        <w:t>II</w:t>
      </w:r>
      <w:r>
        <w:rPr>
          <w:rFonts w:eastAsiaTheme="minorEastAsia"/>
        </w:rPr>
        <w:fldChar w:fldCharType="end"/>
      </w:r>
      <w:r>
        <w:rPr>
          <w:rFonts w:eastAsiaTheme="minorEastAsia"/>
        </w:rPr>
        <w:fldChar w:fldCharType="end"/>
      </w:r>
    </w:p>
    <w:p>
      <w:pPr>
        <w:pStyle w:val="16"/>
        <w:rPr>
          <w:rFonts w:eastAsiaTheme="minorEastAsia"/>
          <w:szCs w:val="22"/>
        </w:rPr>
      </w:pPr>
      <w:r>
        <w:fldChar w:fldCharType="begin"/>
      </w:r>
      <w:r>
        <w:instrText xml:space="preserve"> HYPERLINK \l "_Toc180395251" </w:instrText>
      </w:r>
      <w:r>
        <w:fldChar w:fldCharType="separate"/>
      </w:r>
      <w:r>
        <w:rPr>
          <w:rStyle w:val="27"/>
          <w:rFonts w:eastAsiaTheme="minorEastAsia"/>
          <w:color w:val="auto"/>
        </w:rPr>
        <w:t>1 范围</w:t>
      </w:r>
      <w:r>
        <w:rPr>
          <w:rFonts w:eastAsiaTheme="minorEastAsia"/>
        </w:rPr>
        <w:tab/>
      </w:r>
      <w:r>
        <w:rPr>
          <w:rFonts w:eastAsiaTheme="minorEastAsia"/>
        </w:rPr>
        <w:fldChar w:fldCharType="begin"/>
      </w:r>
      <w:r>
        <w:rPr>
          <w:rFonts w:eastAsiaTheme="minorEastAsia"/>
        </w:rPr>
        <w:instrText xml:space="preserve"> PAGEREF _Toc180395251 \h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fldChar w:fldCharType="end"/>
      </w:r>
    </w:p>
    <w:p>
      <w:pPr>
        <w:pStyle w:val="16"/>
        <w:rPr>
          <w:rFonts w:eastAsiaTheme="minorEastAsia"/>
          <w:szCs w:val="22"/>
        </w:rPr>
      </w:pPr>
      <w:r>
        <w:fldChar w:fldCharType="begin"/>
      </w:r>
      <w:r>
        <w:instrText xml:space="preserve"> HYPERLINK \l "_Toc180395252" </w:instrText>
      </w:r>
      <w:r>
        <w:fldChar w:fldCharType="separate"/>
      </w:r>
      <w:r>
        <w:rPr>
          <w:rStyle w:val="27"/>
          <w:rFonts w:eastAsiaTheme="minorEastAsia"/>
          <w:color w:val="auto"/>
        </w:rPr>
        <w:t>2 引用文件</w:t>
      </w:r>
      <w:r>
        <w:rPr>
          <w:rFonts w:eastAsiaTheme="minorEastAsia"/>
        </w:rPr>
        <w:tab/>
      </w:r>
      <w:r>
        <w:rPr>
          <w:rFonts w:eastAsiaTheme="minorEastAsia"/>
        </w:rPr>
        <w:fldChar w:fldCharType="begin"/>
      </w:r>
      <w:r>
        <w:rPr>
          <w:rFonts w:eastAsiaTheme="minorEastAsia"/>
        </w:rPr>
        <w:instrText xml:space="preserve"> PAGEREF _Toc180395252 \h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fldChar w:fldCharType="end"/>
      </w:r>
    </w:p>
    <w:p>
      <w:pPr>
        <w:pStyle w:val="16"/>
        <w:tabs>
          <w:tab w:val="left" w:pos="420"/>
        </w:tabs>
        <w:rPr>
          <w:rFonts w:eastAsiaTheme="minorEastAsia"/>
          <w:szCs w:val="22"/>
        </w:rPr>
      </w:pPr>
      <w:r>
        <w:fldChar w:fldCharType="begin"/>
      </w:r>
      <w:r>
        <w:instrText xml:space="preserve"> HYPERLINK \l "_Toc180395253" </w:instrText>
      </w:r>
      <w:r>
        <w:fldChar w:fldCharType="separate"/>
      </w:r>
      <w:r>
        <w:rPr>
          <w:rStyle w:val="27"/>
          <w:rFonts w:eastAsiaTheme="minorEastAsia"/>
          <w:color w:val="auto"/>
        </w:rPr>
        <w:t>3术语和计量单位</w:t>
      </w:r>
      <w:r>
        <w:rPr>
          <w:rFonts w:eastAsiaTheme="minorEastAsia"/>
        </w:rPr>
        <w:tab/>
      </w:r>
      <w:r>
        <w:rPr>
          <w:rFonts w:eastAsiaTheme="minorEastAsia"/>
        </w:rPr>
        <w:fldChar w:fldCharType="begin"/>
      </w:r>
      <w:r>
        <w:rPr>
          <w:rFonts w:eastAsiaTheme="minorEastAsia"/>
        </w:rPr>
        <w:instrText xml:space="preserve"> PAGEREF _Toc180395253 \h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"_Toc180395254" </w:instrText>
      </w:r>
      <w:r>
        <w:fldChar w:fldCharType="separate"/>
      </w:r>
      <w:r>
        <w:rPr>
          <w:rStyle w:val="27"/>
          <w:rFonts w:eastAsiaTheme="minorEastAsia"/>
          <w:color w:val="auto"/>
        </w:rPr>
        <w:t>3.1延度试验仪</w:t>
      </w:r>
      <w:r>
        <w:rPr>
          <w:rFonts w:eastAsiaTheme="minorEastAsia"/>
        </w:rPr>
        <w:tab/>
      </w:r>
      <w:r>
        <w:rPr>
          <w:rFonts w:eastAsiaTheme="minorEastAsia"/>
        </w:rPr>
        <w:fldChar w:fldCharType="begin"/>
      </w:r>
      <w:r>
        <w:rPr>
          <w:rFonts w:eastAsiaTheme="minorEastAsia"/>
        </w:rPr>
        <w:instrText xml:space="preserve"> PAGEREF _Toc180395254 \h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"_Toc180395255" </w:instrText>
      </w:r>
      <w:r>
        <w:fldChar w:fldCharType="separate"/>
      </w:r>
      <w:r>
        <w:rPr>
          <w:rStyle w:val="27"/>
          <w:rFonts w:eastAsiaTheme="minorEastAsia"/>
          <w:color w:val="auto"/>
        </w:rPr>
        <w:t>3.2测力延度试验仪</w:t>
      </w:r>
      <w:r>
        <w:rPr>
          <w:rFonts w:eastAsiaTheme="minorEastAsia"/>
        </w:rPr>
        <w:tab/>
      </w:r>
      <w:r>
        <w:rPr>
          <w:rFonts w:eastAsiaTheme="minorEastAsia"/>
        </w:rPr>
        <w:fldChar w:fldCharType="begin"/>
      </w:r>
      <w:r>
        <w:rPr>
          <w:rFonts w:eastAsiaTheme="minorEastAsia"/>
        </w:rPr>
        <w:instrText xml:space="preserve"> PAGEREF _Toc180395255 \h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"_Toc180395256" </w:instrText>
      </w:r>
      <w:r>
        <w:fldChar w:fldCharType="separate"/>
      </w:r>
      <w:r>
        <w:rPr>
          <w:rStyle w:val="27"/>
          <w:rFonts w:eastAsiaTheme="minorEastAsia"/>
          <w:color w:val="auto"/>
        </w:rPr>
        <w:t>3.3温度偏差</w:t>
      </w:r>
      <w:r>
        <w:rPr>
          <w:rFonts w:eastAsiaTheme="minorEastAsia"/>
        </w:rPr>
        <w:tab/>
      </w:r>
      <w:r>
        <w:rPr>
          <w:rFonts w:eastAsiaTheme="minorEastAsia"/>
        </w:rPr>
        <w:fldChar w:fldCharType="begin"/>
      </w:r>
      <w:r>
        <w:rPr>
          <w:rFonts w:eastAsiaTheme="minorEastAsia"/>
        </w:rPr>
        <w:instrText xml:space="preserve"> PAGEREF _Toc180395256 \h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"_Toc180395257" </w:instrText>
      </w:r>
      <w:r>
        <w:fldChar w:fldCharType="separate"/>
      </w:r>
      <w:r>
        <w:rPr>
          <w:rStyle w:val="27"/>
          <w:rFonts w:eastAsiaTheme="minorEastAsia"/>
          <w:color w:val="auto"/>
        </w:rPr>
        <w:t>3.4温度均匀度</w:t>
      </w:r>
      <w:r>
        <w:rPr>
          <w:rFonts w:eastAsiaTheme="minorEastAsia"/>
        </w:rPr>
        <w:tab/>
      </w:r>
      <w:r>
        <w:rPr>
          <w:rFonts w:eastAsiaTheme="minorEastAsia"/>
        </w:rPr>
        <w:fldChar w:fldCharType="begin"/>
      </w:r>
      <w:r>
        <w:rPr>
          <w:rFonts w:eastAsiaTheme="minorEastAsia"/>
        </w:rPr>
        <w:instrText xml:space="preserve"> PAGEREF _Toc180395257 \h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"_Toc180395258" </w:instrText>
      </w:r>
      <w:r>
        <w:fldChar w:fldCharType="separate"/>
      </w:r>
      <w:r>
        <w:rPr>
          <w:rStyle w:val="27"/>
          <w:rFonts w:eastAsiaTheme="minorEastAsia"/>
          <w:color w:val="auto"/>
        </w:rPr>
        <w:t>3.5温度波动度</w:t>
      </w:r>
      <w:r>
        <w:rPr>
          <w:rFonts w:eastAsiaTheme="minorEastAsia"/>
        </w:rPr>
        <w:tab/>
      </w:r>
      <w:r>
        <w:rPr>
          <w:rFonts w:eastAsiaTheme="minorEastAsia"/>
        </w:rPr>
        <w:fldChar w:fldCharType="begin"/>
      </w:r>
      <w:r>
        <w:rPr>
          <w:rFonts w:eastAsiaTheme="minorEastAsia"/>
        </w:rPr>
        <w:instrText xml:space="preserve"> PAGEREF _Toc180395258 \h </w:instrText>
      </w:r>
      <w:r>
        <w:rPr>
          <w:rFonts w:eastAsiaTheme="minorEastAsia"/>
        </w:rPr>
        <w:fldChar w:fldCharType="separate"/>
      </w:r>
      <w:r>
        <w:rPr>
          <w:rFonts w:eastAsiaTheme="minorEastAsia"/>
        </w:rPr>
        <w:t>2</w:t>
      </w:r>
      <w:r>
        <w:rPr>
          <w:rFonts w:eastAsiaTheme="minorEastAsia"/>
        </w:rPr>
        <w:fldChar w:fldCharType="end"/>
      </w:r>
      <w:r>
        <w:rPr>
          <w:rFonts w:eastAsiaTheme="minorEastAsia"/>
        </w:rPr>
        <w:fldChar w:fldCharType="end"/>
      </w:r>
    </w:p>
    <w:p>
      <w:pPr>
        <w:pStyle w:val="16"/>
        <w:rPr>
          <w:rFonts w:eastAsiaTheme="minorEastAsia"/>
          <w:szCs w:val="22"/>
        </w:rPr>
      </w:pPr>
      <w:r>
        <w:fldChar w:fldCharType="begin"/>
      </w:r>
      <w:r>
        <w:instrText xml:space="preserve"> HYPERLINK \l "_Toc180395259" </w:instrText>
      </w:r>
      <w:r>
        <w:fldChar w:fldCharType="separate"/>
      </w:r>
      <w:r>
        <w:rPr>
          <w:rStyle w:val="27"/>
          <w:rFonts w:eastAsiaTheme="minorEastAsia"/>
          <w:color w:val="auto"/>
        </w:rPr>
        <w:t>4 概述</w:t>
      </w:r>
      <w:r>
        <w:rPr>
          <w:rFonts w:eastAsiaTheme="minorEastAsia"/>
        </w:rPr>
        <w:tab/>
      </w:r>
      <w:r>
        <w:rPr>
          <w:rFonts w:eastAsiaTheme="minorEastAsia"/>
        </w:rPr>
        <w:fldChar w:fldCharType="begin"/>
      </w:r>
      <w:r>
        <w:rPr>
          <w:rFonts w:eastAsiaTheme="minorEastAsia"/>
        </w:rPr>
        <w:instrText xml:space="preserve"> PAGEREF _Toc180395259 \h </w:instrText>
      </w:r>
      <w:r>
        <w:rPr>
          <w:rFonts w:eastAsiaTheme="minorEastAsia"/>
        </w:rPr>
        <w:fldChar w:fldCharType="separate"/>
      </w:r>
      <w:r>
        <w:rPr>
          <w:rFonts w:eastAsiaTheme="minorEastAsia"/>
        </w:rPr>
        <w:t>2</w:t>
      </w:r>
      <w:r>
        <w:rPr>
          <w:rFonts w:eastAsiaTheme="minorEastAsia"/>
        </w:rPr>
        <w:fldChar w:fldCharType="end"/>
      </w:r>
      <w:r>
        <w:rPr>
          <w:rFonts w:eastAsiaTheme="minorEastAsia"/>
        </w:rPr>
        <w:fldChar w:fldCharType="end"/>
      </w:r>
    </w:p>
    <w:p>
      <w:pPr>
        <w:pStyle w:val="16"/>
        <w:rPr>
          <w:rFonts w:eastAsiaTheme="minorEastAsia"/>
          <w:szCs w:val="22"/>
        </w:rPr>
      </w:pPr>
      <w:r>
        <w:fldChar w:fldCharType="begin"/>
      </w:r>
      <w:r>
        <w:instrText xml:space="preserve"> HYPERLINK \l "_Toc180395260" </w:instrText>
      </w:r>
      <w:r>
        <w:fldChar w:fldCharType="separate"/>
      </w:r>
      <w:r>
        <w:rPr>
          <w:rStyle w:val="27"/>
          <w:rFonts w:eastAsiaTheme="minorEastAsia"/>
          <w:color w:val="auto"/>
        </w:rPr>
        <w:t>5 计量特性</w:t>
      </w:r>
      <w:r>
        <w:rPr>
          <w:rFonts w:eastAsiaTheme="minorEastAsia"/>
        </w:rPr>
        <w:tab/>
      </w:r>
      <w:r>
        <w:rPr>
          <w:rFonts w:eastAsiaTheme="minorEastAsia"/>
        </w:rPr>
        <w:fldChar w:fldCharType="begin"/>
      </w:r>
      <w:r>
        <w:rPr>
          <w:rFonts w:eastAsiaTheme="minorEastAsia"/>
        </w:rPr>
        <w:instrText xml:space="preserve"> PAGEREF _Toc180395260 \h </w:instrText>
      </w:r>
      <w:r>
        <w:rPr>
          <w:rFonts w:eastAsiaTheme="minorEastAsia"/>
        </w:rPr>
        <w:fldChar w:fldCharType="separate"/>
      </w:r>
      <w:r>
        <w:rPr>
          <w:rFonts w:eastAsiaTheme="minorEastAsia"/>
        </w:rPr>
        <w:t>3</w:t>
      </w:r>
      <w:r>
        <w:rPr>
          <w:rFonts w:eastAsiaTheme="minorEastAsia"/>
        </w:rPr>
        <w:fldChar w:fldCharType="end"/>
      </w:r>
      <w:r>
        <w:rPr>
          <w:rFonts w:eastAsiaTheme="minorEastAsia"/>
        </w:rPr>
        <w:fldChar w:fldCharType="end"/>
      </w:r>
    </w:p>
    <w:p>
      <w:pPr>
        <w:pStyle w:val="16"/>
        <w:rPr>
          <w:rFonts w:eastAsiaTheme="minorEastAsia"/>
          <w:szCs w:val="22"/>
        </w:rPr>
      </w:pPr>
      <w:r>
        <w:fldChar w:fldCharType="begin"/>
      </w:r>
      <w:r>
        <w:instrText xml:space="preserve"> HYPERLINK \l "_Toc180395261" </w:instrText>
      </w:r>
      <w:r>
        <w:fldChar w:fldCharType="separate"/>
      </w:r>
      <w:r>
        <w:rPr>
          <w:rStyle w:val="27"/>
          <w:rFonts w:eastAsiaTheme="minorEastAsia"/>
          <w:color w:val="auto"/>
        </w:rPr>
        <w:t>6 校准条件</w:t>
      </w:r>
      <w:r>
        <w:rPr>
          <w:rFonts w:eastAsiaTheme="minorEastAsia"/>
        </w:rPr>
        <w:tab/>
      </w:r>
      <w:r>
        <w:rPr>
          <w:rFonts w:eastAsiaTheme="minorEastAsia"/>
        </w:rPr>
        <w:fldChar w:fldCharType="begin"/>
      </w:r>
      <w:r>
        <w:rPr>
          <w:rFonts w:eastAsiaTheme="minorEastAsia"/>
        </w:rPr>
        <w:instrText xml:space="preserve"> PAGEREF _Toc180395261 \h </w:instrText>
      </w:r>
      <w:r>
        <w:rPr>
          <w:rFonts w:eastAsiaTheme="minorEastAsia"/>
        </w:rPr>
        <w:fldChar w:fldCharType="separate"/>
      </w:r>
      <w:r>
        <w:rPr>
          <w:rFonts w:eastAsiaTheme="minorEastAsia"/>
        </w:rPr>
        <w:t>4</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"_Toc180395262" </w:instrText>
      </w:r>
      <w:r>
        <w:fldChar w:fldCharType="separate"/>
      </w:r>
      <w:r>
        <w:rPr>
          <w:rStyle w:val="27"/>
          <w:rFonts w:eastAsiaTheme="minorEastAsia"/>
          <w:color w:val="auto"/>
        </w:rPr>
        <w:t>6.1 环境条件</w:t>
      </w:r>
      <w:r>
        <w:rPr>
          <w:rFonts w:eastAsiaTheme="minorEastAsia"/>
        </w:rPr>
        <w:tab/>
      </w:r>
      <w:r>
        <w:rPr>
          <w:rFonts w:eastAsiaTheme="minorEastAsia"/>
        </w:rPr>
        <w:fldChar w:fldCharType="begin"/>
      </w:r>
      <w:r>
        <w:rPr>
          <w:rFonts w:eastAsiaTheme="minorEastAsia"/>
        </w:rPr>
        <w:instrText xml:space="preserve"> PAGEREF _Toc180395262 \h </w:instrText>
      </w:r>
      <w:r>
        <w:rPr>
          <w:rFonts w:eastAsiaTheme="minorEastAsia"/>
        </w:rPr>
        <w:fldChar w:fldCharType="separate"/>
      </w:r>
      <w:r>
        <w:rPr>
          <w:rFonts w:eastAsiaTheme="minorEastAsia"/>
        </w:rPr>
        <w:t>4</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"_Toc180395263" </w:instrText>
      </w:r>
      <w:r>
        <w:fldChar w:fldCharType="separate"/>
      </w:r>
      <w:r>
        <w:rPr>
          <w:rStyle w:val="27"/>
          <w:rFonts w:eastAsiaTheme="minorEastAsia"/>
          <w:color w:val="auto"/>
        </w:rPr>
        <w:t>6.2 测量标准及其他设备</w:t>
      </w:r>
      <w:r>
        <w:rPr>
          <w:rFonts w:eastAsiaTheme="minorEastAsia"/>
        </w:rPr>
        <w:tab/>
      </w:r>
      <w:r>
        <w:rPr>
          <w:rFonts w:eastAsiaTheme="minorEastAsia"/>
        </w:rPr>
        <w:fldChar w:fldCharType="begin"/>
      </w:r>
      <w:r>
        <w:rPr>
          <w:rFonts w:eastAsiaTheme="minorEastAsia"/>
        </w:rPr>
        <w:instrText xml:space="preserve"> PAGEREF _Toc180395263 \h </w:instrText>
      </w:r>
      <w:r>
        <w:rPr>
          <w:rFonts w:eastAsiaTheme="minorEastAsia"/>
        </w:rPr>
        <w:fldChar w:fldCharType="separate"/>
      </w:r>
      <w:r>
        <w:rPr>
          <w:rFonts w:eastAsiaTheme="minorEastAsia"/>
        </w:rPr>
        <w:t>4</w:t>
      </w:r>
      <w:r>
        <w:rPr>
          <w:rFonts w:eastAsiaTheme="minorEastAsia"/>
        </w:rPr>
        <w:fldChar w:fldCharType="end"/>
      </w:r>
      <w:r>
        <w:rPr>
          <w:rFonts w:eastAsiaTheme="minorEastAsia"/>
        </w:rPr>
        <w:fldChar w:fldCharType="end"/>
      </w:r>
    </w:p>
    <w:p>
      <w:pPr>
        <w:pStyle w:val="16"/>
        <w:rPr>
          <w:rFonts w:eastAsiaTheme="minorEastAsia"/>
          <w:szCs w:val="22"/>
        </w:rPr>
      </w:pPr>
      <w:r>
        <w:fldChar w:fldCharType="begin"/>
      </w:r>
      <w:r>
        <w:instrText xml:space="preserve"> HYPERLINK \l "_Toc180395264" </w:instrText>
      </w:r>
      <w:r>
        <w:fldChar w:fldCharType="separate"/>
      </w:r>
      <w:r>
        <w:rPr>
          <w:rStyle w:val="27"/>
          <w:rFonts w:eastAsiaTheme="minorEastAsia"/>
          <w:color w:val="auto"/>
        </w:rPr>
        <w:t>7校准项目和校准方法</w:t>
      </w:r>
      <w:r>
        <w:rPr>
          <w:rFonts w:eastAsiaTheme="minorEastAsia"/>
        </w:rPr>
        <w:tab/>
      </w:r>
      <w:r>
        <w:rPr>
          <w:rFonts w:eastAsiaTheme="minorEastAsia"/>
        </w:rPr>
        <w:fldChar w:fldCharType="begin"/>
      </w:r>
      <w:r>
        <w:rPr>
          <w:rFonts w:eastAsiaTheme="minorEastAsia"/>
        </w:rPr>
        <w:instrText xml:space="preserve"> PAGEREF _Toc180395264 \h </w:instrText>
      </w:r>
      <w:r>
        <w:rPr>
          <w:rFonts w:eastAsiaTheme="minorEastAsia"/>
        </w:rPr>
        <w:fldChar w:fldCharType="separate"/>
      </w:r>
      <w:r>
        <w:rPr>
          <w:rFonts w:eastAsiaTheme="minorEastAsia"/>
        </w:rPr>
        <w:t>5</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"_Toc180395265" </w:instrText>
      </w:r>
      <w:r>
        <w:fldChar w:fldCharType="separate"/>
      </w:r>
      <w:r>
        <w:rPr>
          <w:rStyle w:val="27"/>
          <w:rFonts w:eastAsiaTheme="minorEastAsia"/>
          <w:color w:val="auto"/>
        </w:rPr>
        <w:t>7.1校准前的准备</w:t>
      </w:r>
      <w:r>
        <w:rPr>
          <w:rFonts w:eastAsiaTheme="minorEastAsia"/>
        </w:rPr>
        <w:tab/>
      </w:r>
      <w:r>
        <w:rPr>
          <w:rFonts w:eastAsiaTheme="minorEastAsia"/>
        </w:rPr>
        <w:fldChar w:fldCharType="begin"/>
      </w:r>
      <w:r>
        <w:rPr>
          <w:rFonts w:eastAsiaTheme="minorEastAsia"/>
        </w:rPr>
        <w:instrText xml:space="preserve"> PAGEREF _Toc180395265 \h </w:instrText>
      </w:r>
      <w:r>
        <w:rPr>
          <w:rFonts w:eastAsiaTheme="minorEastAsia"/>
        </w:rPr>
        <w:fldChar w:fldCharType="separate"/>
      </w:r>
      <w:r>
        <w:rPr>
          <w:rFonts w:eastAsiaTheme="minorEastAsia"/>
        </w:rPr>
        <w:t>5</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"_Toc180395266" </w:instrText>
      </w:r>
      <w:r>
        <w:fldChar w:fldCharType="separate"/>
      </w:r>
      <w:r>
        <w:rPr>
          <w:rStyle w:val="27"/>
          <w:rFonts w:eastAsiaTheme="minorEastAsia"/>
          <w:color w:val="auto"/>
        </w:rPr>
        <w:t>7.2温度校准</w:t>
      </w:r>
      <w:r>
        <w:rPr>
          <w:rFonts w:eastAsiaTheme="minorEastAsia"/>
        </w:rPr>
        <w:tab/>
      </w:r>
      <w:r>
        <w:rPr>
          <w:rFonts w:eastAsiaTheme="minorEastAsia"/>
        </w:rPr>
        <w:fldChar w:fldCharType="begin"/>
      </w:r>
      <w:r>
        <w:rPr>
          <w:rFonts w:eastAsiaTheme="minorEastAsia"/>
        </w:rPr>
        <w:instrText xml:space="preserve"> PAGEREF _Toc180395266 \h </w:instrText>
      </w:r>
      <w:r>
        <w:rPr>
          <w:rFonts w:eastAsiaTheme="minorEastAsia"/>
        </w:rPr>
        <w:fldChar w:fldCharType="separate"/>
      </w:r>
      <w:r>
        <w:rPr>
          <w:rFonts w:eastAsiaTheme="minorEastAsia"/>
        </w:rPr>
        <w:t>5</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"_Toc180395267" </w:instrText>
      </w:r>
      <w:r>
        <w:fldChar w:fldCharType="separate"/>
      </w:r>
      <w:r>
        <w:rPr>
          <w:rStyle w:val="27"/>
          <w:rFonts w:eastAsiaTheme="minorEastAsia"/>
          <w:color w:val="auto"/>
        </w:rPr>
        <w:t>7.3拉伸长度示值误差</w:t>
      </w:r>
      <w:r>
        <w:rPr>
          <w:rFonts w:eastAsiaTheme="minorEastAsia"/>
        </w:rPr>
        <w:tab/>
      </w:r>
      <w:r>
        <w:rPr>
          <w:rFonts w:eastAsiaTheme="minorEastAsia"/>
        </w:rPr>
        <w:fldChar w:fldCharType="begin"/>
      </w:r>
      <w:r>
        <w:rPr>
          <w:rFonts w:eastAsiaTheme="minorEastAsia"/>
        </w:rPr>
        <w:instrText xml:space="preserve"> PAGEREF _Toc180395267 \h </w:instrText>
      </w:r>
      <w:r>
        <w:rPr>
          <w:rFonts w:eastAsiaTheme="minorEastAsia"/>
        </w:rPr>
        <w:fldChar w:fldCharType="separate"/>
      </w:r>
      <w:r>
        <w:rPr>
          <w:rFonts w:eastAsiaTheme="minorEastAsia"/>
        </w:rPr>
        <w:t>7</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"_Toc180395268" </w:instrText>
      </w:r>
      <w:r>
        <w:fldChar w:fldCharType="separate"/>
      </w:r>
      <w:r>
        <w:rPr>
          <w:rStyle w:val="27"/>
          <w:rFonts w:eastAsiaTheme="minorEastAsia"/>
          <w:color w:val="auto"/>
        </w:rPr>
        <w:t>7.4拉伸速度相对误差</w:t>
      </w:r>
      <w:r>
        <w:rPr>
          <w:rFonts w:eastAsiaTheme="minorEastAsia"/>
        </w:rPr>
        <w:tab/>
      </w:r>
      <w:r>
        <w:rPr>
          <w:rFonts w:eastAsiaTheme="minorEastAsia"/>
        </w:rPr>
        <w:fldChar w:fldCharType="begin"/>
      </w:r>
      <w:r>
        <w:rPr>
          <w:rFonts w:eastAsiaTheme="minorEastAsia"/>
        </w:rPr>
        <w:instrText xml:space="preserve"> PAGEREF _Toc180395268 \h </w:instrText>
      </w:r>
      <w:r>
        <w:rPr>
          <w:rFonts w:eastAsiaTheme="minorEastAsia"/>
        </w:rPr>
        <w:fldChar w:fldCharType="separate"/>
      </w:r>
      <w:r>
        <w:rPr>
          <w:rFonts w:eastAsiaTheme="minorEastAsia"/>
        </w:rPr>
        <w:t>7</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"_Toc180395269" </w:instrText>
      </w:r>
      <w:r>
        <w:fldChar w:fldCharType="separate"/>
      </w:r>
      <w:r>
        <w:rPr>
          <w:rStyle w:val="27"/>
          <w:rFonts w:eastAsiaTheme="minorEastAsia"/>
          <w:color w:val="auto"/>
        </w:rPr>
        <w:t>7.5摆动量</w:t>
      </w:r>
      <w:r>
        <w:rPr>
          <w:rFonts w:eastAsiaTheme="minorEastAsia"/>
        </w:rPr>
        <w:tab/>
      </w:r>
      <w:r>
        <w:rPr>
          <w:rFonts w:eastAsiaTheme="minorEastAsia"/>
        </w:rPr>
        <w:fldChar w:fldCharType="begin"/>
      </w:r>
      <w:r>
        <w:rPr>
          <w:rFonts w:eastAsiaTheme="minorEastAsia"/>
        </w:rPr>
        <w:instrText xml:space="preserve"> PAGEREF _Toc180395269 \h </w:instrText>
      </w:r>
      <w:r>
        <w:rPr>
          <w:rFonts w:eastAsiaTheme="minorEastAsia"/>
        </w:rPr>
        <w:fldChar w:fldCharType="separate"/>
      </w:r>
      <w:r>
        <w:rPr>
          <w:rFonts w:eastAsiaTheme="minorEastAsia"/>
        </w:rPr>
        <w:t>8</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"_Toc180395270" </w:instrText>
      </w:r>
      <w:r>
        <w:fldChar w:fldCharType="separate"/>
      </w:r>
      <w:r>
        <w:rPr>
          <w:rStyle w:val="27"/>
          <w:rFonts w:eastAsiaTheme="minorEastAsia"/>
          <w:color w:val="auto"/>
        </w:rPr>
        <w:t>7.5拉伸力相对误差</w:t>
      </w:r>
      <w:r>
        <w:rPr>
          <w:rFonts w:eastAsiaTheme="minorEastAsia"/>
        </w:rPr>
        <w:tab/>
      </w:r>
      <w:r>
        <w:rPr>
          <w:rFonts w:eastAsiaTheme="minorEastAsia"/>
        </w:rPr>
        <w:fldChar w:fldCharType="begin"/>
      </w:r>
      <w:r>
        <w:rPr>
          <w:rFonts w:eastAsiaTheme="minorEastAsia"/>
        </w:rPr>
        <w:instrText xml:space="preserve"> PAGEREF _Toc180395270 \h </w:instrText>
      </w:r>
      <w:r>
        <w:rPr>
          <w:rFonts w:eastAsiaTheme="minorEastAsia"/>
        </w:rPr>
        <w:fldChar w:fldCharType="separate"/>
      </w:r>
      <w:r>
        <w:rPr>
          <w:rFonts w:eastAsiaTheme="minorEastAsia"/>
        </w:rPr>
        <w:t>8</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"_Toc180395271" </w:instrText>
      </w:r>
      <w:r>
        <w:fldChar w:fldCharType="separate"/>
      </w:r>
      <w:r>
        <w:rPr>
          <w:rStyle w:val="27"/>
          <w:rFonts w:eastAsiaTheme="minorEastAsia"/>
          <w:color w:val="auto"/>
        </w:rPr>
        <w:t>7.6试模几何尺寸</w:t>
      </w:r>
      <w:r>
        <w:rPr>
          <w:rFonts w:eastAsiaTheme="minorEastAsia"/>
        </w:rPr>
        <w:tab/>
      </w:r>
      <w:r>
        <w:rPr>
          <w:rFonts w:eastAsiaTheme="minorEastAsia"/>
        </w:rPr>
        <w:fldChar w:fldCharType="begin"/>
      </w:r>
      <w:r>
        <w:rPr>
          <w:rFonts w:eastAsiaTheme="minorEastAsia"/>
        </w:rPr>
        <w:instrText xml:space="preserve"> PAGEREF _Toc180395271 \h </w:instrText>
      </w:r>
      <w:r>
        <w:rPr>
          <w:rFonts w:eastAsiaTheme="minorEastAsia"/>
        </w:rPr>
        <w:fldChar w:fldCharType="separate"/>
      </w:r>
      <w:r>
        <w:rPr>
          <w:rFonts w:eastAsiaTheme="minorEastAsia"/>
        </w:rPr>
        <w:t>8</w:t>
      </w:r>
      <w:r>
        <w:rPr>
          <w:rFonts w:eastAsiaTheme="minorEastAsia"/>
        </w:rPr>
        <w:fldChar w:fldCharType="end"/>
      </w:r>
      <w:r>
        <w:rPr>
          <w:rFonts w:eastAsiaTheme="minorEastAsia"/>
        </w:rPr>
        <w:fldChar w:fldCharType="end"/>
      </w:r>
    </w:p>
    <w:p>
      <w:pPr>
        <w:pStyle w:val="10"/>
        <w:rPr>
          <w:rFonts w:eastAsiaTheme="minorEastAsia"/>
          <w:szCs w:val="22"/>
        </w:rPr>
      </w:pPr>
      <w:r>
        <w:fldChar w:fldCharType="begin"/>
      </w:r>
      <w:r>
        <w:instrText xml:space="preserve"> HYPERLINK \l "_Toc180395272" </w:instrText>
      </w:r>
      <w:r>
        <w:fldChar w:fldCharType="separate"/>
      </w:r>
      <w:r>
        <w:rPr>
          <w:rStyle w:val="27"/>
          <w:rFonts w:eastAsiaTheme="minorEastAsia"/>
          <w:color w:val="auto"/>
        </w:rPr>
        <w:t>7.6表面粗糙度</w:t>
      </w:r>
      <w:r>
        <w:rPr>
          <w:rFonts w:eastAsiaTheme="minorEastAsia"/>
        </w:rPr>
        <w:tab/>
      </w:r>
      <w:r>
        <w:rPr>
          <w:rFonts w:eastAsiaTheme="minorEastAsia"/>
        </w:rPr>
        <w:fldChar w:fldCharType="begin"/>
      </w:r>
      <w:r>
        <w:rPr>
          <w:rFonts w:eastAsiaTheme="minorEastAsia"/>
        </w:rPr>
        <w:instrText xml:space="preserve"> PAGEREF _Toc180395272 \h </w:instrText>
      </w:r>
      <w:r>
        <w:rPr>
          <w:rFonts w:eastAsiaTheme="minorEastAsia"/>
        </w:rPr>
        <w:fldChar w:fldCharType="separate"/>
      </w:r>
      <w:r>
        <w:rPr>
          <w:rFonts w:eastAsiaTheme="minorEastAsia"/>
        </w:rPr>
        <w:t>9</w:t>
      </w:r>
      <w:r>
        <w:rPr>
          <w:rFonts w:eastAsiaTheme="minorEastAsia"/>
        </w:rPr>
        <w:fldChar w:fldCharType="end"/>
      </w:r>
      <w:r>
        <w:rPr>
          <w:rFonts w:eastAsiaTheme="minorEastAsia"/>
        </w:rPr>
        <w:fldChar w:fldCharType="end"/>
      </w:r>
    </w:p>
    <w:p>
      <w:pPr>
        <w:pStyle w:val="16"/>
        <w:rPr>
          <w:rFonts w:eastAsiaTheme="minorEastAsia"/>
          <w:szCs w:val="22"/>
        </w:rPr>
      </w:pPr>
      <w:r>
        <w:fldChar w:fldCharType="begin"/>
      </w:r>
      <w:r>
        <w:instrText xml:space="preserve"> HYPERLINK \l "_Toc180395273" </w:instrText>
      </w:r>
      <w:r>
        <w:fldChar w:fldCharType="separate"/>
      </w:r>
      <w:r>
        <w:rPr>
          <w:rStyle w:val="27"/>
          <w:rFonts w:eastAsiaTheme="minorEastAsia"/>
          <w:color w:val="auto"/>
        </w:rPr>
        <w:t>8校准结果表达</w:t>
      </w:r>
      <w:r>
        <w:rPr>
          <w:rFonts w:eastAsiaTheme="minorEastAsia"/>
        </w:rPr>
        <w:tab/>
      </w:r>
      <w:r>
        <w:rPr>
          <w:rFonts w:eastAsiaTheme="minorEastAsia"/>
        </w:rPr>
        <w:fldChar w:fldCharType="begin"/>
      </w:r>
      <w:r>
        <w:rPr>
          <w:rFonts w:eastAsiaTheme="minorEastAsia"/>
        </w:rPr>
        <w:instrText xml:space="preserve"> PAGEREF _Toc180395273 \h </w:instrText>
      </w:r>
      <w:r>
        <w:rPr>
          <w:rFonts w:eastAsiaTheme="minorEastAsia"/>
        </w:rPr>
        <w:fldChar w:fldCharType="separate"/>
      </w:r>
      <w:r>
        <w:rPr>
          <w:rFonts w:eastAsiaTheme="minorEastAsia"/>
        </w:rPr>
        <w:t>9</w:t>
      </w:r>
      <w:r>
        <w:rPr>
          <w:rFonts w:eastAsiaTheme="minorEastAsia"/>
        </w:rPr>
        <w:fldChar w:fldCharType="end"/>
      </w:r>
      <w:r>
        <w:rPr>
          <w:rFonts w:eastAsiaTheme="minorEastAsia"/>
        </w:rPr>
        <w:fldChar w:fldCharType="end"/>
      </w:r>
    </w:p>
    <w:p>
      <w:pPr>
        <w:pStyle w:val="16"/>
        <w:rPr>
          <w:rFonts w:eastAsiaTheme="minorEastAsia"/>
          <w:szCs w:val="22"/>
        </w:rPr>
      </w:pPr>
      <w:r>
        <w:fldChar w:fldCharType="begin"/>
      </w:r>
      <w:r>
        <w:instrText xml:space="preserve"> HYPERLINK \l "_Toc180395274" </w:instrText>
      </w:r>
      <w:r>
        <w:fldChar w:fldCharType="separate"/>
      </w:r>
      <w:r>
        <w:rPr>
          <w:rStyle w:val="27"/>
          <w:rFonts w:eastAsiaTheme="minorEastAsia"/>
          <w:color w:val="auto"/>
        </w:rPr>
        <w:t>9复校时间间隔</w:t>
      </w:r>
      <w:r>
        <w:rPr>
          <w:rFonts w:eastAsiaTheme="minorEastAsia"/>
        </w:rPr>
        <w:tab/>
      </w:r>
      <w:r>
        <w:rPr>
          <w:rFonts w:eastAsiaTheme="minorEastAsia"/>
        </w:rPr>
        <w:fldChar w:fldCharType="begin"/>
      </w:r>
      <w:r>
        <w:rPr>
          <w:rFonts w:eastAsiaTheme="minorEastAsia"/>
        </w:rPr>
        <w:instrText xml:space="preserve"> PAGEREF _Toc180395274 \h </w:instrText>
      </w:r>
      <w:r>
        <w:rPr>
          <w:rFonts w:eastAsiaTheme="minorEastAsia"/>
        </w:rPr>
        <w:fldChar w:fldCharType="separate"/>
      </w:r>
      <w:r>
        <w:rPr>
          <w:rFonts w:eastAsiaTheme="minorEastAsia"/>
        </w:rPr>
        <w:t>9</w:t>
      </w:r>
      <w:r>
        <w:rPr>
          <w:rFonts w:eastAsiaTheme="minorEastAsia"/>
        </w:rPr>
        <w:fldChar w:fldCharType="end"/>
      </w:r>
      <w:r>
        <w:rPr>
          <w:rFonts w:eastAsiaTheme="minorEastAsia"/>
        </w:rPr>
        <w:fldChar w:fldCharType="end"/>
      </w:r>
    </w:p>
    <w:p>
      <w:pPr>
        <w:pStyle w:val="17"/>
        <w:tabs>
          <w:tab w:val="right" w:leader="dot" w:pos="8834"/>
        </w:tabs>
        <w:spacing w:line="360" w:lineRule="auto"/>
        <w:ind w:left="0" w:leftChars="0"/>
        <w:rPr>
          <w:rFonts w:eastAsiaTheme="minorEastAsia"/>
          <w:szCs w:val="22"/>
        </w:rPr>
      </w:pPr>
      <w:r>
        <w:fldChar w:fldCharType="begin"/>
      </w:r>
      <w:r>
        <w:instrText xml:space="preserve"> HYPERLINK \l "_Toc180395275" </w:instrText>
      </w:r>
      <w:r>
        <w:fldChar w:fldCharType="separate"/>
      </w:r>
      <w:r>
        <w:rPr>
          <w:rStyle w:val="27"/>
          <w:rFonts w:eastAsiaTheme="minorEastAsia"/>
          <w:color w:val="auto"/>
        </w:rPr>
        <w:t>附录A沥青延度试验仪校准原始记录（参考）格式</w:t>
      </w:r>
      <w:r>
        <w:rPr>
          <w:rFonts w:eastAsiaTheme="minorEastAsia"/>
        </w:rPr>
        <w:tab/>
      </w:r>
      <w:r>
        <w:rPr>
          <w:rFonts w:eastAsiaTheme="minorEastAsia"/>
        </w:rPr>
        <w:fldChar w:fldCharType="begin"/>
      </w:r>
      <w:r>
        <w:rPr>
          <w:rFonts w:eastAsiaTheme="minorEastAsia"/>
        </w:rPr>
        <w:instrText xml:space="preserve"> PAGEREF _Toc180395275 \h </w:instrText>
      </w:r>
      <w:r>
        <w:rPr>
          <w:rFonts w:eastAsiaTheme="minorEastAsia"/>
        </w:rPr>
        <w:fldChar w:fldCharType="separate"/>
      </w:r>
      <w:r>
        <w:rPr>
          <w:rFonts w:eastAsiaTheme="minorEastAsia"/>
        </w:rPr>
        <w:t>11</w:t>
      </w:r>
      <w:r>
        <w:rPr>
          <w:rFonts w:eastAsiaTheme="minorEastAsia"/>
        </w:rPr>
        <w:fldChar w:fldCharType="end"/>
      </w:r>
      <w:r>
        <w:rPr>
          <w:rFonts w:eastAsiaTheme="minorEastAsia"/>
        </w:rPr>
        <w:fldChar w:fldCharType="end"/>
      </w:r>
    </w:p>
    <w:p>
      <w:pPr>
        <w:pStyle w:val="17"/>
        <w:tabs>
          <w:tab w:val="right" w:leader="dot" w:pos="8834"/>
        </w:tabs>
        <w:spacing w:line="360" w:lineRule="auto"/>
        <w:ind w:left="0" w:leftChars="0"/>
        <w:rPr>
          <w:rFonts w:eastAsiaTheme="minorEastAsia"/>
          <w:szCs w:val="22"/>
        </w:rPr>
      </w:pPr>
      <w:r>
        <w:fldChar w:fldCharType="begin"/>
      </w:r>
      <w:r>
        <w:instrText xml:space="preserve"> HYPERLINK \l "_Toc180395276" </w:instrText>
      </w:r>
      <w:r>
        <w:fldChar w:fldCharType="separate"/>
      </w:r>
      <w:r>
        <w:rPr>
          <w:rStyle w:val="27"/>
          <w:rFonts w:eastAsiaTheme="minorEastAsia"/>
          <w:color w:val="auto"/>
        </w:rPr>
        <w:t>附录B校准证书结果页（参考）格式</w:t>
      </w:r>
      <w:r>
        <w:rPr>
          <w:rFonts w:eastAsiaTheme="minorEastAsia"/>
        </w:rPr>
        <w:tab/>
      </w:r>
      <w:r>
        <w:rPr>
          <w:rFonts w:eastAsiaTheme="minorEastAsia"/>
        </w:rPr>
        <w:fldChar w:fldCharType="begin"/>
      </w:r>
      <w:r>
        <w:rPr>
          <w:rFonts w:eastAsiaTheme="minorEastAsia"/>
        </w:rPr>
        <w:instrText xml:space="preserve"> PAGEREF _Toc180395276 \h </w:instrText>
      </w:r>
      <w:r>
        <w:rPr>
          <w:rFonts w:eastAsiaTheme="minorEastAsia"/>
        </w:rPr>
        <w:fldChar w:fldCharType="separate"/>
      </w:r>
      <w:r>
        <w:rPr>
          <w:rFonts w:eastAsiaTheme="minorEastAsia"/>
        </w:rPr>
        <w:t>13</w:t>
      </w:r>
      <w:r>
        <w:rPr>
          <w:rFonts w:eastAsiaTheme="minorEastAsia"/>
        </w:rPr>
        <w:fldChar w:fldCharType="end"/>
      </w:r>
      <w:r>
        <w:rPr>
          <w:rFonts w:eastAsiaTheme="minorEastAsia"/>
        </w:rPr>
        <w:fldChar w:fldCharType="end"/>
      </w:r>
    </w:p>
    <w:p>
      <w:pPr>
        <w:pStyle w:val="17"/>
        <w:tabs>
          <w:tab w:val="right" w:leader="dot" w:pos="8834"/>
        </w:tabs>
        <w:spacing w:line="360" w:lineRule="auto"/>
        <w:ind w:left="0" w:leftChars="0"/>
        <w:rPr>
          <w:rFonts w:eastAsiaTheme="minorEastAsia"/>
          <w:szCs w:val="22"/>
        </w:rPr>
      </w:pPr>
      <w:r>
        <w:fldChar w:fldCharType="begin"/>
      </w:r>
      <w:r>
        <w:instrText xml:space="preserve"> HYPERLINK \l "_Toc180395277" </w:instrText>
      </w:r>
      <w:r>
        <w:fldChar w:fldCharType="separate"/>
      </w:r>
      <w:r>
        <w:rPr>
          <w:rStyle w:val="27"/>
          <w:rFonts w:eastAsiaTheme="minorEastAsia"/>
          <w:color w:val="auto"/>
        </w:rPr>
        <w:t>附录 C延度试验仪温度偏差测量结果不确定度评定示例</w:t>
      </w:r>
      <w:r>
        <w:rPr>
          <w:rFonts w:eastAsiaTheme="minorEastAsia"/>
        </w:rPr>
        <w:tab/>
      </w:r>
      <w:r>
        <w:rPr>
          <w:rFonts w:eastAsiaTheme="minorEastAsia"/>
        </w:rPr>
        <w:fldChar w:fldCharType="begin"/>
      </w:r>
      <w:r>
        <w:rPr>
          <w:rFonts w:eastAsiaTheme="minorEastAsia"/>
        </w:rPr>
        <w:instrText xml:space="preserve"> PAGEREF _Toc180395277 \h </w:instrText>
      </w:r>
      <w:r>
        <w:rPr>
          <w:rFonts w:eastAsiaTheme="minorEastAsia"/>
        </w:rPr>
        <w:fldChar w:fldCharType="separate"/>
      </w:r>
      <w:r>
        <w:rPr>
          <w:rFonts w:eastAsiaTheme="minorEastAsia"/>
        </w:rPr>
        <w:t>15</w:t>
      </w:r>
      <w:r>
        <w:rPr>
          <w:rFonts w:eastAsiaTheme="minorEastAsia"/>
        </w:rPr>
        <w:fldChar w:fldCharType="end"/>
      </w:r>
      <w:r>
        <w:rPr>
          <w:rFonts w:eastAsiaTheme="minorEastAsia"/>
        </w:rPr>
        <w:fldChar w:fldCharType="end"/>
      </w:r>
    </w:p>
    <w:p>
      <w:pPr>
        <w:pStyle w:val="17"/>
        <w:tabs>
          <w:tab w:val="right" w:leader="dot" w:pos="8834"/>
        </w:tabs>
        <w:spacing w:line="360" w:lineRule="auto"/>
        <w:ind w:left="0" w:leftChars="0"/>
        <w:rPr>
          <w:rFonts w:eastAsiaTheme="minorEastAsia"/>
          <w:szCs w:val="22"/>
        </w:rPr>
      </w:pPr>
      <w:r>
        <w:fldChar w:fldCharType="begin"/>
      </w:r>
      <w:r>
        <w:instrText xml:space="preserve"> HYPERLINK \l "_Toc180395278" </w:instrText>
      </w:r>
      <w:r>
        <w:fldChar w:fldCharType="separate"/>
      </w:r>
      <w:r>
        <w:rPr>
          <w:rStyle w:val="27"/>
          <w:rFonts w:eastAsiaTheme="minorEastAsia"/>
          <w:color w:val="auto"/>
        </w:rPr>
        <w:t>附录 D延度试验仪拉伸装置示值误差测量结果不确定度评定</w:t>
      </w:r>
      <w:r>
        <w:rPr>
          <w:rFonts w:eastAsiaTheme="minorEastAsia"/>
        </w:rPr>
        <w:tab/>
      </w:r>
      <w:r>
        <w:rPr>
          <w:rFonts w:eastAsiaTheme="minorEastAsia"/>
        </w:rPr>
        <w:fldChar w:fldCharType="begin"/>
      </w:r>
      <w:r>
        <w:rPr>
          <w:rFonts w:eastAsiaTheme="minorEastAsia"/>
        </w:rPr>
        <w:instrText xml:space="preserve"> PAGEREF _Toc180395278 \h </w:instrText>
      </w:r>
      <w:r>
        <w:rPr>
          <w:rFonts w:eastAsiaTheme="minorEastAsia"/>
        </w:rPr>
        <w:fldChar w:fldCharType="separate"/>
      </w:r>
      <w:r>
        <w:rPr>
          <w:rFonts w:eastAsiaTheme="minorEastAsia"/>
        </w:rPr>
        <w:t>18</w:t>
      </w:r>
      <w:r>
        <w:rPr>
          <w:rFonts w:eastAsiaTheme="minorEastAsia"/>
        </w:rPr>
        <w:fldChar w:fldCharType="end"/>
      </w:r>
      <w:r>
        <w:rPr>
          <w:rFonts w:eastAsiaTheme="minorEastAsia"/>
        </w:rPr>
        <w:fldChar w:fldCharType="end"/>
      </w:r>
    </w:p>
    <w:p>
      <w:pPr>
        <w:pStyle w:val="17"/>
        <w:tabs>
          <w:tab w:val="right" w:leader="dot" w:pos="8834"/>
        </w:tabs>
        <w:spacing w:line="360" w:lineRule="auto"/>
        <w:ind w:left="0" w:leftChars="0"/>
        <w:rPr>
          <w:rFonts w:eastAsiaTheme="minorEastAsia"/>
          <w:szCs w:val="22"/>
        </w:rPr>
      </w:pPr>
      <w:r>
        <w:fldChar w:fldCharType="begin"/>
      </w:r>
      <w:r>
        <w:instrText xml:space="preserve"> HYPERLINK \l "_Toc180395279" </w:instrText>
      </w:r>
      <w:r>
        <w:fldChar w:fldCharType="separate"/>
      </w:r>
      <w:r>
        <w:rPr>
          <w:rStyle w:val="27"/>
          <w:rFonts w:eastAsiaTheme="minorEastAsia"/>
          <w:color w:val="auto"/>
        </w:rPr>
        <w:t>附录 E测力延度试验仪拉力测量结果不确定度评定</w:t>
      </w:r>
      <w:r>
        <w:rPr>
          <w:rFonts w:eastAsiaTheme="minorEastAsia"/>
        </w:rPr>
        <w:tab/>
      </w:r>
      <w:r>
        <w:rPr>
          <w:rFonts w:eastAsiaTheme="minorEastAsia"/>
        </w:rPr>
        <w:fldChar w:fldCharType="begin"/>
      </w:r>
      <w:r>
        <w:rPr>
          <w:rFonts w:eastAsiaTheme="minorEastAsia"/>
        </w:rPr>
        <w:instrText xml:space="preserve"> PAGEREF _Toc180395279 \h </w:instrText>
      </w:r>
      <w:r>
        <w:rPr>
          <w:rFonts w:eastAsiaTheme="minorEastAsia"/>
        </w:rPr>
        <w:fldChar w:fldCharType="separate"/>
      </w:r>
      <w:r>
        <w:rPr>
          <w:rFonts w:eastAsiaTheme="minorEastAsia"/>
        </w:rPr>
        <w:t>20</w:t>
      </w:r>
      <w:r>
        <w:rPr>
          <w:rFonts w:eastAsiaTheme="minorEastAsia"/>
        </w:rPr>
        <w:fldChar w:fldCharType="end"/>
      </w:r>
      <w:r>
        <w:rPr>
          <w:rFonts w:eastAsiaTheme="minorEastAsia"/>
        </w:rPr>
        <w:fldChar w:fldCharType="end"/>
      </w:r>
    </w:p>
    <w:p>
      <w:pPr>
        <w:rPr>
          <w:sz w:val="24"/>
        </w:rPr>
        <w:sectPr>
          <w:pgSz w:w="11906" w:h="16838"/>
          <w:pgMar w:top="1440" w:right="1531" w:bottom="1440" w:left="1531" w:header="1157" w:footer="992" w:gutter="0"/>
          <w:pgNumType w:fmt="upperRoman" w:start="1"/>
          <w:cols w:space="720" w:num="1"/>
          <w:titlePg/>
          <w:docGrid w:linePitch="312" w:charSpace="0"/>
        </w:sectPr>
      </w:pPr>
      <w:r>
        <w:rPr>
          <w:sz w:val="24"/>
        </w:rPr>
        <w:fldChar w:fldCharType="end"/>
      </w:r>
    </w:p>
    <w:p>
      <w:pPr>
        <w:pStyle w:val="2"/>
        <w:jc w:val="center"/>
        <w:rPr>
          <w:b w:val="0"/>
          <w:sz w:val="44"/>
          <w:szCs w:val="44"/>
        </w:rPr>
      </w:pPr>
      <w:bookmarkStart w:id="0" w:name="_Toc180395250"/>
      <w:r>
        <w:rPr>
          <w:b w:val="0"/>
          <w:sz w:val="44"/>
          <w:szCs w:val="44"/>
        </w:rPr>
        <w:t>引言</w:t>
      </w:r>
      <w:bookmarkEnd w:id="0"/>
    </w:p>
    <w:p>
      <w:pPr>
        <w:snapToGrid w:val="0"/>
        <w:spacing w:line="360" w:lineRule="auto"/>
        <w:ind w:firstLine="470" w:firstLineChars="196"/>
        <w:rPr>
          <w:sz w:val="24"/>
        </w:rPr>
      </w:pPr>
    </w:p>
    <w:p>
      <w:pPr>
        <w:snapToGrid w:val="0"/>
        <w:spacing w:line="360" w:lineRule="auto"/>
        <w:ind w:firstLine="470" w:firstLineChars="196"/>
        <w:rPr>
          <w:sz w:val="24"/>
        </w:rPr>
      </w:pPr>
      <w:r>
        <w:rPr>
          <w:sz w:val="24"/>
        </w:rPr>
        <w:t>JJF 1071《国家计量校准规范编写规则》、JJF 1001《通用计量术语及定义》、JJF 1059.1《测量不确定度评定与表示》和JJF 1094《测量仪器特性评定》共同构成支撑本规范制定工作的基础性系列规范。</w:t>
      </w:r>
    </w:p>
    <w:p>
      <w:pPr>
        <w:snapToGrid w:val="0"/>
        <w:spacing w:line="360" w:lineRule="auto"/>
        <w:ind w:left="2" w:leftChars="1" w:firstLine="470" w:firstLineChars="196"/>
        <w:rPr>
          <w:sz w:val="24"/>
        </w:rPr>
      </w:pPr>
      <w:r>
        <w:rPr>
          <w:sz w:val="24"/>
        </w:rPr>
        <w:t>本规范在制定中参考了JJF 2019-2022《液体恒温试验设备温度性能测试规范》、GB/T 4508-2010《沥青延度测定法》、JTG E20-2011《公路工程沥青及沥青混合料试验规程》</w:t>
      </w:r>
      <w:r>
        <w:rPr>
          <w:kern w:val="0"/>
          <w:sz w:val="24"/>
        </w:rPr>
        <w:t>的相关内容。</w:t>
      </w:r>
    </w:p>
    <w:p>
      <w:pPr>
        <w:snapToGrid w:val="0"/>
        <w:spacing w:line="360" w:lineRule="auto"/>
        <w:ind w:firstLine="470" w:firstLineChars="196"/>
        <w:rPr>
          <w:sz w:val="24"/>
        </w:rPr>
      </w:pPr>
      <w:r>
        <w:rPr>
          <w:sz w:val="24"/>
        </w:rPr>
        <w:t>本规范为首次发布。</w:t>
      </w:r>
    </w:p>
    <w:p>
      <w:pPr>
        <w:snapToGrid w:val="0"/>
        <w:spacing w:line="360" w:lineRule="auto"/>
        <w:ind w:firstLine="470" w:firstLineChars="196"/>
        <w:rPr>
          <w:sz w:val="24"/>
        </w:rPr>
      </w:pPr>
    </w:p>
    <w:p>
      <w:pPr>
        <w:snapToGrid w:val="0"/>
        <w:spacing w:line="360" w:lineRule="auto"/>
        <w:jc w:val="center"/>
        <w:rPr>
          <w:b/>
          <w:sz w:val="24"/>
        </w:rPr>
      </w:pPr>
    </w:p>
    <w:p>
      <w:pPr>
        <w:snapToGrid w:val="0"/>
        <w:spacing w:line="360" w:lineRule="auto"/>
        <w:jc w:val="center"/>
        <w:rPr>
          <w:b/>
          <w:sz w:val="24"/>
        </w:rPr>
      </w:pPr>
    </w:p>
    <w:p>
      <w:pPr>
        <w:snapToGrid w:val="0"/>
        <w:spacing w:line="360" w:lineRule="auto"/>
        <w:jc w:val="center"/>
        <w:rPr>
          <w:b/>
          <w:sz w:val="24"/>
        </w:rPr>
      </w:pPr>
    </w:p>
    <w:p>
      <w:pPr>
        <w:snapToGrid w:val="0"/>
        <w:spacing w:line="360" w:lineRule="auto"/>
        <w:jc w:val="center"/>
        <w:rPr>
          <w:b/>
          <w:sz w:val="24"/>
        </w:rPr>
      </w:pPr>
    </w:p>
    <w:p>
      <w:pPr>
        <w:snapToGrid w:val="0"/>
        <w:spacing w:line="360" w:lineRule="auto"/>
        <w:jc w:val="center"/>
        <w:rPr>
          <w:b/>
          <w:sz w:val="24"/>
        </w:rPr>
      </w:pPr>
    </w:p>
    <w:p>
      <w:pPr>
        <w:snapToGrid w:val="0"/>
        <w:spacing w:line="360" w:lineRule="auto"/>
        <w:jc w:val="center"/>
        <w:rPr>
          <w:b/>
          <w:sz w:val="24"/>
        </w:rPr>
      </w:pPr>
    </w:p>
    <w:p>
      <w:pPr>
        <w:snapToGrid w:val="0"/>
        <w:spacing w:line="360" w:lineRule="auto"/>
        <w:jc w:val="center"/>
        <w:rPr>
          <w:b/>
          <w:sz w:val="24"/>
        </w:rPr>
      </w:pPr>
    </w:p>
    <w:p>
      <w:pPr>
        <w:snapToGrid w:val="0"/>
        <w:spacing w:line="360" w:lineRule="auto"/>
        <w:jc w:val="center"/>
        <w:rPr>
          <w:b/>
          <w:sz w:val="24"/>
        </w:rPr>
      </w:pPr>
    </w:p>
    <w:p>
      <w:pPr>
        <w:snapToGrid w:val="0"/>
        <w:spacing w:line="360" w:lineRule="auto"/>
        <w:jc w:val="center"/>
        <w:rPr>
          <w:b/>
          <w:sz w:val="24"/>
        </w:rPr>
      </w:pPr>
    </w:p>
    <w:p>
      <w:pPr>
        <w:snapToGrid w:val="0"/>
        <w:spacing w:line="360" w:lineRule="auto"/>
        <w:jc w:val="center"/>
        <w:rPr>
          <w:b/>
          <w:sz w:val="24"/>
        </w:rPr>
      </w:pPr>
    </w:p>
    <w:p>
      <w:pPr>
        <w:snapToGrid w:val="0"/>
        <w:spacing w:line="360" w:lineRule="auto"/>
        <w:jc w:val="center"/>
        <w:rPr>
          <w:b/>
          <w:sz w:val="24"/>
        </w:rPr>
      </w:pPr>
    </w:p>
    <w:p>
      <w:pPr>
        <w:snapToGrid w:val="0"/>
        <w:spacing w:line="360" w:lineRule="auto"/>
        <w:jc w:val="center"/>
        <w:rPr>
          <w:b/>
          <w:sz w:val="24"/>
        </w:rPr>
      </w:pPr>
    </w:p>
    <w:p>
      <w:pPr>
        <w:snapToGrid w:val="0"/>
        <w:spacing w:line="360" w:lineRule="auto"/>
        <w:rPr>
          <w:b/>
          <w:sz w:val="24"/>
        </w:rPr>
      </w:pPr>
    </w:p>
    <w:p>
      <w:pPr>
        <w:snapToGrid w:val="0"/>
        <w:spacing w:line="360" w:lineRule="auto"/>
        <w:jc w:val="center"/>
        <w:rPr>
          <w:b/>
          <w:sz w:val="24"/>
        </w:rPr>
        <w:sectPr>
          <w:pgSz w:w="11906" w:h="16838"/>
          <w:pgMar w:top="1440" w:right="1531" w:bottom="1440" w:left="1531" w:header="1157" w:footer="992" w:gutter="0"/>
          <w:pgNumType w:fmt="upperRoman"/>
          <w:cols w:space="720" w:num="1"/>
          <w:titlePg/>
          <w:docGrid w:linePitch="312" w:charSpace="0"/>
        </w:sectPr>
      </w:pPr>
    </w:p>
    <w:p>
      <w:pPr>
        <w:snapToGrid w:val="0"/>
        <w:spacing w:line="360" w:lineRule="auto"/>
        <w:jc w:val="center"/>
        <w:rPr>
          <w:rFonts w:eastAsia="黑体"/>
          <w:sz w:val="32"/>
          <w:szCs w:val="32"/>
        </w:rPr>
      </w:pPr>
      <w:r>
        <w:rPr>
          <w:rFonts w:eastAsia="黑体"/>
          <w:sz w:val="32"/>
          <w:szCs w:val="32"/>
        </w:rPr>
        <w:t>沥青延度试验仪校准规范</w:t>
      </w:r>
    </w:p>
    <w:p>
      <w:pPr>
        <w:snapToGrid w:val="0"/>
        <w:spacing w:line="360" w:lineRule="auto"/>
        <w:rPr>
          <w:b/>
          <w:sz w:val="24"/>
        </w:rPr>
      </w:pPr>
    </w:p>
    <w:p>
      <w:pPr>
        <w:pStyle w:val="2"/>
        <w:rPr>
          <w:b w:val="0"/>
        </w:rPr>
      </w:pPr>
      <w:bookmarkStart w:id="1" w:name="_Toc180395251"/>
      <w:r>
        <w:rPr>
          <w:b w:val="0"/>
        </w:rPr>
        <w:t>1 范围</w:t>
      </w:r>
      <w:bookmarkEnd w:id="1"/>
    </w:p>
    <w:p>
      <w:pPr>
        <w:snapToGrid w:val="0"/>
        <w:spacing w:line="360" w:lineRule="auto"/>
        <w:ind w:left="2" w:leftChars="1" w:firstLine="470" w:firstLineChars="196"/>
        <w:rPr>
          <w:b/>
          <w:sz w:val="24"/>
        </w:rPr>
      </w:pPr>
      <w:r>
        <w:rPr>
          <w:sz w:val="24"/>
        </w:rPr>
        <w:t>本规范适用于沥青延度试验仪的校准。</w:t>
      </w:r>
    </w:p>
    <w:p>
      <w:pPr>
        <w:pStyle w:val="2"/>
        <w:rPr>
          <w:b w:val="0"/>
        </w:rPr>
      </w:pPr>
      <w:bookmarkStart w:id="2" w:name="_Toc180395252"/>
      <w:r>
        <w:rPr>
          <w:b w:val="0"/>
        </w:rPr>
        <w:t>2 引用文件</w:t>
      </w:r>
      <w:bookmarkEnd w:id="2"/>
    </w:p>
    <w:p>
      <w:pPr>
        <w:snapToGrid w:val="0"/>
        <w:spacing w:line="360" w:lineRule="auto"/>
        <w:ind w:left="2" w:leftChars="1" w:firstLine="470" w:firstLineChars="196"/>
        <w:rPr>
          <w:sz w:val="24"/>
        </w:rPr>
      </w:pPr>
      <w:r>
        <w:rPr>
          <w:sz w:val="24"/>
        </w:rPr>
        <w:t>本规范引用了下列文件：</w:t>
      </w:r>
    </w:p>
    <w:p>
      <w:pPr>
        <w:spacing w:line="360" w:lineRule="auto"/>
        <w:ind w:firstLine="480" w:firstLineChars="200"/>
        <w:rPr>
          <w:sz w:val="24"/>
        </w:rPr>
      </w:pPr>
      <w:bookmarkStart w:id="3" w:name="_Hlk179637497"/>
      <w:r>
        <w:rPr>
          <w:sz w:val="24"/>
        </w:rPr>
        <w:t>JJF 2019-2022 液体恒温试验设备温度性能测试规范</w:t>
      </w:r>
    </w:p>
    <w:bookmarkEnd w:id="3"/>
    <w:p>
      <w:pPr>
        <w:spacing w:line="360" w:lineRule="auto"/>
        <w:ind w:firstLine="480" w:firstLineChars="200"/>
        <w:rPr>
          <w:sz w:val="24"/>
        </w:rPr>
      </w:pPr>
      <w:r>
        <w:rPr>
          <w:sz w:val="24"/>
        </w:rPr>
        <w:t>GB/T 4508-2010 沥青延度测定法</w:t>
      </w:r>
    </w:p>
    <w:p>
      <w:pPr>
        <w:snapToGrid w:val="0"/>
        <w:spacing w:line="360" w:lineRule="auto"/>
        <w:ind w:left="2" w:leftChars="1" w:firstLine="470" w:firstLineChars="196"/>
        <w:rPr>
          <w:sz w:val="24"/>
        </w:rPr>
      </w:pPr>
      <w:r>
        <w:rPr>
          <w:sz w:val="24"/>
        </w:rPr>
        <w:t>JTG E20-2011 公路工程沥青及沥青混合料试验规程</w:t>
      </w:r>
    </w:p>
    <w:p>
      <w:pPr>
        <w:snapToGrid w:val="0"/>
        <w:spacing w:line="360" w:lineRule="auto"/>
        <w:ind w:left="2" w:leftChars="1" w:firstLine="470" w:firstLineChars="196"/>
        <w:rPr>
          <w:sz w:val="24"/>
        </w:rPr>
      </w:pPr>
      <w:r>
        <w:rPr>
          <w:sz w:val="24"/>
        </w:rPr>
        <w:t>凡是注日期的引用文件，仅注日期的版本适用于本规范；凡是不注日期的引用文件，其最新版本（包括所有的修改单）适用于本规范。</w:t>
      </w:r>
    </w:p>
    <w:p>
      <w:pPr>
        <w:tabs>
          <w:tab w:val="left" w:pos="710"/>
          <w:tab w:val="left" w:pos="860"/>
        </w:tabs>
        <w:snapToGrid w:val="0"/>
        <w:spacing w:before="120" w:beforeLines="50" w:after="120" w:afterLines="50"/>
        <w:rPr>
          <w:szCs w:val="21"/>
        </w:rPr>
      </w:pPr>
    </w:p>
    <w:p>
      <w:pPr>
        <w:pStyle w:val="2"/>
        <w:numPr>
          <w:ilvl w:val="0"/>
          <w:numId w:val="3"/>
        </w:numPr>
        <w:rPr>
          <w:b w:val="0"/>
        </w:rPr>
      </w:pPr>
      <w:bookmarkStart w:id="4" w:name="_Toc180395253"/>
      <w:r>
        <w:rPr>
          <w:b w:val="0"/>
        </w:rPr>
        <w:t>术语和计量单位</w:t>
      </w:r>
      <w:bookmarkEnd w:id="4"/>
    </w:p>
    <w:p>
      <w:pPr>
        <w:snapToGrid w:val="0"/>
        <w:spacing w:line="360" w:lineRule="auto"/>
        <w:ind w:left="2" w:leftChars="1" w:firstLine="470" w:firstLineChars="196"/>
        <w:rPr>
          <w:sz w:val="24"/>
        </w:rPr>
      </w:pPr>
      <w:bookmarkStart w:id="5" w:name="_Toc180395254"/>
      <w:r>
        <w:rPr>
          <w:sz w:val="24"/>
        </w:rPr>
        <w:t>JJF 2019-2022界定的以及下列术语和定义适用于本规范：</w:t>
      </w:r>
    </w:p>
    <w:p>
      <w:pPr>
        <w:pStyle w:val="4"/>
        <w:tabs>
          <w:tab w:val="left" w:pos="1666"/>
        </w:tabs>
      </w:pPr>
      <w:r>
        <w:t>3.1</w:t>
      </w:r>
      <w:r>
        <w:rPr>
          <w:szCs w:val="24"/>
        </w:rPr>
        <w:t>延度试验仪</w:t>
      </w:r>
      <w:bookmarkEnd w:id="5"/>
      <w:r>
        <w:rPr>
          <w:szCs w:val="24"/>
        </w:rPr>
        <w:t xml:space="preserve"> tester for ductility of bituminous</w:t>
      </w:r>
    </w:p>
    <w:p>
      <w:pPr>
        <w:pStyle w:val="53"/>
        <w:tabs>
          <w:tab w:val="left" w:pos="1666"/>
        </w:tabs>
        <w:spacing w:line="360" w:lineRule="auto"/>
        <w:ind w:firstLine="480"/>
        <w:rPr>
          <w:rFonts w:ascii="Times New Roman"/>
          <w:sz w:val="24"/>
          <w:szCs w:val="24"/>
        </w:rPr>
      </w:pPr>
      <w:r>
        <w:rPr>
          <w:rFonts w:ascii="Times New Roman"/>
          <w:sz w:val="24"/>
          <w:szCs w:val="24"/>
        </w:rPr>
        <w:t>延度试验仪是用于测定沥青延度和弹性恢复性能的专用仪器。</w:t>
      </w:r>
    </w:p>
    <w:p>
      <w:pPr>
        <w:pStyle w:val="4"/>
        <w:tabs>
          <w:tab w:val="left" w:pos="1666"/>
        </w:tabs>
      </w:pPr>
      <w:bookmarkStart w:id="6" w:name="_Toc180395255"/>
      <w:r>
        <w:t>3.2测力延度试验仪</w:t>
      </w:r>
      <w:bookmarkEnd w:id="6"/>
      <w:r>
        <w:t xml:space="preserve"> tester for force ductility of bituminous</w:t>
      </w:r>
    </w:p>
    <w:p>
      <w:pPr>
        <w:pStyle w:val="53"/>
        <w:spacing w:line="360" w:lineRule="auto"/>
        <w:ind w:firstLine="480"/>
        <w:rPr>
          <w:rFonts w:ascii="Times New Roman"/>
          <w:sz w:val="24"/>
          <w:szCs w:val="24"/>
        </w:rPr>
      </w:pPr>
      <w:r>
        <w:rPr>
          <w:rFonts w:ascii="Times New Roman"/>
          <w:sz w:val="24"/>
          <w:szCs w:val="24"/>
        </w:rPr>
        <w:t>测力延度试验仪是用于测定改性沥青的黏聚能或峰值力比，以评价聚合物改性沥青的黏聚性能的仪器。</w:t>
      </w:r>
    </w:p>
    <w:p>
      <w:pPr>
        <w:pStyle w:val="4"/>
      </w:pPr>
      <w:bookmarkStart w:id="7" w:name="_Toc180395256"/>
      <w:r>
        <w:t>3.3温度偏差 temperature deviation</w:t>
      </w:r>
      <w:bookmarkEnd w:id="7"/>
    </w:p>
    <w:p>
      <w:pPr>
        <w:pStyle w:val="53"/>
        <w:spacing w:line="360" w:lineRule="auto"/>
        <w:ind w:firstLine="480"/>
        <w:rPr>
          <w:rFonts w:ascii="Times New Roman"/>
          <w:sz w:val="24"/>
          <w:szCs w:val="24"/>
        </w:rPr>
      </w:pPr>
      <w:r>
        <w:rPr>
          <w:rFonts w:ascii="Times New Roman"/>
          <w:sz w:val="24"/>
          <w:szCs w:val="24"/>
        </w:rPr>
        <w:t>沥青延度试验仪在稳定状态下，工作空间内各测量点在规定时间内实测最高温度和最低温度与设定温度的偏差，两个偏差分别称为温度上偏差和温度下偏差。</w:t>
      </w:r>
    </w:p>
    <w:p>
      <w:pPr>
        <w:pStyle w:val="53"/>
        <w:spacing w:line="360" w:lineRule="auto"/>
        <w:ind w:firstLine="480"/>
        <w:rPr>
          <w:rFonts w:ascii="Times New Roman"/>
          <w:sz w:val="24"/>
          <w:szCs w:val="24"/>
        </w:rPr>
      </w:pPr>
      <w:r>
        <w:rPr>
          <w:rFonts w:ascii="Times New Roman"/>
          <w:sz w:val="24"/>
          <w:szCs w:val="24"/>
        </w:rPr>
        <w:t>【来源：JJF 2019-2022，3.2】</w:t>
      </w:r>
    </w:p>
    <w:p>
      <w:pPr>
        <w:pStyle w:val="4"/>
      </w:pPr>
      <w:bookmarkStart w:id="8" w:name="_Toc180395257"/>
      <w:r>
        <w:t>3.4</w:t>
      </w:r>
      <w:r>
        <w:rPr>
          <w:szCs w:val="20"/>
        </w:rPr>
        <w:t>温度均匀度 temperature uniformity</w:t>
      </w:r>
      <w:bookmarkEnd w:id="8"/>
    </w:p>
    <w:p>
      <w:pPr>
        <w:pStyle w:val="53"/>
        <w:spacing w:line="360" w:lineRule="auto"/>
        <w:ind w:firstLine="480"/>
        <w:rPr>
          <w:rFonts w:ascii="Times New Roman"/>
          <w:sz w:val="24"/>
          <w:szCs w:val="24"/>
        </w:rPr>
      </w:pPr>
      <w:r>
        <w:rPr>
          <w:rFonts w:ascii="Times New Roman"/>
          <w:sz w:val="24"/>
          <w:szCs w:val="24"/>
        </w:rPr>
        <w:t>沥青延度试验仪在稳定状态下，某一瞬时的工作空间内各测量点最高温度与最低温度的差值的平均值。</w:t>
      </w:r>
    </w:p>
    <w:p>
      <w:pPr>
        <w:pStyle w:val="53"/>
        <w:spacing w:line="360" w:lineRule="auto"/>
        <w:ind w:firstLine="480"/>
        <w:rPr>
          <w:rFonts w:ascii="Times New Roman"/>
          <w:sz w:val="24"/>
          <w:szCs w:val="24"/>
        </w:rPr>
      </w:pPr>
      <w:r>
        <w:rPr>
          <w:rFonts w:ascii="Times New Roman"/>
          <w:sz w:val="24"/>
          <w:szCs w:val="24"/>
        </w:rPr>
        <w:t>【来源：JJF 2019-2022，3.3】</w:t>
      </w:r>
    </w:p>
    <w:p>
      <w:pPr>
        <w:pStyle w:val="4"/>
      </w:pPr>
      <w:bookmarkStart w:id="9" w:name="_Toc180395258"/>
      <w:r>
        <w:t>3.5</w:t>
      </w:r>
      <w:r>
        <w:rPr>
          <w:szCs w:val="20"/>
        </w:rPr>
        <w:t>温度波动度 temperature fluctuation</w:t>
      </w:r>
      <w:bookmarkEnd w:id="9"/>
    </w:p>
    <w:p>
      <w:pPr>
        <w:pStyle w:val="53"/>
        <w:spacing w:line="360" w:lineRule="auto"/>
        <w:ind w:firstLine="480"/>
        <w:rPr>
          <w:rFonts w:ascii="Times New Roman"/>
          <w:sz w:val="24"/>
          <w:szCs w:val="24"/>
        </w:rPr>
      </w:pPr>
      <w:r>
        <w:rPr>
          <w:rFonts w:ascii="Times New Roman"/>
          <w:sz w:val="24"/>
          <w:szCs w:val="24"/>
        </w:rPr>
        <w:t>沥青延度试验仪在稳定状态下，规定时间间隔内的工作空间内各测量点温度变化的最大值。</w:t>
      </w:r>
    </w:p>
    <w:p>
      <w:pPr>
        <w:pStyle w:val="53"/>
        <w:spacing w:line="360" w:lineRule="auto"/>
        <w:ind w:firstLine="480"/>
        <w:rPr>
          <w:rFonts w:ascii="Times New Roman"/>
          <w:sz w:val="24"/>
          <w:szCs w:val="24"/>
        </w:rPr>
      </w:pPr>
      <w:r>
        <w:rPr>
          <w:rFonts w:ascii="Times New Roman"/>
          <w:sz w:val="24"/>
          <w:szCs w:val="24"/>
        </w:rPr>
        <w:t>【来源：JJF 2019-2022，3.4】</w:t>
      </w:r>
    </w:p>
    <w:p>
      <w:pPr>
        <w:pStyle w:val="53"/>
        <w:spacing w:line="360" w:lineRule="auto"/>
        <w:ind w:firstLine="0" w:firstLineChars="0"/>
        <w:rPr>
          <w:rFonts w:ascii="Times New Roman"/>
          <w:sz w:val="24"/>
          <w:szCs w:val="24"/>
        </w:rPr>
      </w:pPr>
    </w:p>
    <w:p>
      <w:pPr>
        <w:pStyle w:val="2"/>
        <w:rPr>
          <w:b w:val="0"/>
        </w:rPr>
      </w:pPr>
      <w:bookmarkStart w:id="10" w:name="_Toc180395259"/>
      <w:r>
        <w:rPr>
          <w:b w:val="0"/>
        </w:rPr>
        <w:t>4 概述</w:t>
      </w:r>
      <w:bookmarkEnd w:id="10"/>
    </w:p>
    <w:p>
      <w:pPr>
        <w:spacing w:line="360" w:lineRule="auto"/>
        <w:ind w:firstLine="480" w:firstLineChars="200"/>
        <w:rPr>
          <w:sz w:val="24"/>
        </w:rPr>
      </w:pPr>
      <w:r>
        <w:rPr>
          <w:sz w:val="24"/>
        </w:rPr>
        <w:t>沥青延度试验仪按是否带有测力功能分为延度试验仪和测力延度试验仪。延度试验仪用于测定道路石油沥青、聚合物改性沥青，或稀释沥青、乳化沥青的残留物的延度及沥青材料的弹性恢复性能, 由恒温水槽、拉伸装置、控制系统、显示装置等组成，常见的沥青延度试验仪结构示意图如图1所示。测力延度试验仪用于测定改性沥青的黏聚能或峰值力比，由延度试验仪、拉伸力和变形测量装置组成。沥青延度试验仪配有8字试模和直线试模，试模由两个弧形端模和两个侧模组成，尺寸应符合4508-2010和JTG E20-2011的要求，试模示意图和尺寸如图2所示。</w:t>
      </w:r>
    </w:p>
    <w:p>
      <w:pPr>
        <w:spacing w:line="360" w:lineRule="auto"/>
        <w:ind w:firstLine="480" w:firstLineChars="200"/>
        <w:rPr>
          <w:sz w:val="24"/>
        </w:rPr>
      </w:pPr>
      <w:r>
        <w:rPr>
          <w:sz w:val="24"/>
        </w:rPr>
        <w:t>沥青延度、黏聚能和峰值力比测试原理为：将熔化的试样注入专用模具中，冷却至室温后放入试验温度下的水浴中保温，将仪器恒温在一定温度，以一定速度拉伸沥青试样，测定试样断裂时的长度，在拉伸过程中绘制变形量-拉伸力曲线，计算试样黏聚能和峰值力比；沥青弹性恢性能测试原理为：按照上述方式制备沥青试样，将仪器恒温在一定温度，以一定速度将试样拉伸至一定值后停止拉伸并立刻剪断试样，保温后测量试件残留长度计算弹性恢复率。</w:t>
      </w:r>
    </w:p>
    <w:p>
      <w:pPr>
        <w:tabs>
          <w:tab w:val="left" w:pos="710"/>
          <w:tab w:val="left" w:pos="860"/>
        </w:tabs>
        <w:snapToGrid w:val="0"/>
        <w:spacing w:line="360" w:lineRule="auto"/>
        <w:jc w:val="center"/>
        <w:rPr>
          <w:sz w:val="24"/>
        </w:rPr>
      </w:pPr>
      <w:r>
        <w:rPr>
          <w:sz w:val="24"/>
        </w:rPr>
        <w:drawing>
          <wp:inline distT="0" distB="0" distL="0" distR="0">
            <wp:extent cx="4551045" cy="1732915"/>
            <wp:effectExtent l="0" t="0" r="1905" b="635"/>
            <wp:docPr id="2794404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440474" name="图片 1"/>
                    <pic:cNvPicPr>
                      <a:picLocks noChangeAspect="1"/>
                    </pic:cNvPicPr>
                  </pic:nvPicPr>
                  <pic:blipFill>
                    <a:blip r:embed="rId14"/>
                    <a:stretch>
                      <a:fillRect/>
                    </a:stretch>
                  </pic:blipFill>
                  <pic:spPr>
                    <a:xfrm>
                      <a:off x="0" y="0"/>
                      <a:ext cx="4615474" cy="1758041"/>
                    </a:xfrm>
                    <a:prstGeom prst="rect">
                      <a:avLst/>
                    </a:prstGeom>
                  </pic:spPr>
                </pic:pic>
              </a:graphicData>
            </a:graphic>
          </wp:inline>
        </w:drawing>
      </w:r>
    </w:p>
    <w:p>
      <w:pPr>
        <w:tabs>
          <w:tab w:val="left" w:pos="710"/>
          <w:tab w:val="left" w:pos="860"/>
        </w:tabs>
        <w:snapToGrid w:val="0"/>
        <w:spacing w:line="360" w:lineRule="auto"/>
        <w:jc w:val="center"/>
        <w:rPr>
          <w:szCs w:val="21"/>
        </w:rPr>
      </w:pPr>
      <w:r>
        <w:rPr>
          <w:szCs w:val="21"/>
        </w:rPr>
        <w:t>1—显示仪；2-拉伸装置；3-恒温水槽；4-自动识别装置；5-控制系统</w:t>
      </w:r>
    </w:p>
    <w:p>
      <w:pPr>
        <w:tabs>
          <w:tab w:val="left" w:pos="710"/>
          <w:tab w:val="left" w:pos="860"/>
        </w:tabs>
        <w:snapToGrid w:val="0"/>
        <w:spacing w:line="360" w:lineRule="auto"/>
        <w:jc w:val="center"/>
        <w:rPr>
          <w:szCs w:val="21"/>
        </w:rPr>
      </w:pPr>
      <w:r>
        <w:rPr>
          <w:szCs w:val="21"/>
        </w:rPr>
        <w:t>图1沥青延度试验仪结构示意图</w:t>
      </w:r>
    </w:p>
    <w:p>
      <w:pPr>
        <w:tabs>
          <w:tab w:val="left" w:pos="710"/>
          <w:tab w:val="left" w:pos="860"/>
        </w:tabs>
        <w:snapToGrid w:val="0"/>
        <w:spacing w:line="360" w:lineRule="auto"/>
        <w:jc w:val="center"/>
        <w:rPr>
          <w:szCs w:val="21"/>
        </w:rPr>
      </w:pPr>
    </w:p>
    <w:p>
      <w:pPr>
        <w:tabs>
          <w:tab w:val="left" w:pos="710"/>
          <w:tab w:val="left" w:pos="860"/>
        </w:tabs>
        <w:snapToGrid w:val="0"/>
        <w:spacing w:line="360" w:lineRule="auto"/>
        <w:jc w:val="center"/>
        <w:rPr>
          <w:szCs w:val="21"/>
        </w:rPr>
      </w:pPr>
      <w:r>
        <w:drawing>
          <wp:inline distT="0" distB="0" distL="0" distR="0">
            <wp:extent cx="2843530" cy="2177415"/>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a:stretch>
                      <a:fillRect/>
                    </a:stretch>
                  </pic:blipFill>
                  <pic:spPr>
                    <a:xfrm>
                      <a:off x="0" y="0"/>
                      <a:ext cx="2844000" cy="2178000"/>
                    </a:xfrm>
                    <a:prstGeom prst="rect">
                      <a:avLst/>
                    </a:prstGeom>
                  </pic:spPr>
                </pic:pic>
              </a:graphicData>
            </a:graphic>
          </wp:inline>
        </w:drawing>
      </w:r>
    </w:p>
    <w:p>
      <w:pPr>
        <w:tabs>
          <w:tab w:val="left" w:pos="710"/>
          <w:tab w:val="left" w:pos="860"/>
        </w:tabs>
        <w:snapToGrid w:val="0"/>
        <w:spacing w:line="360" w:lineRule="auto"/>
        <w:jc w:val="center"/>
        <w:rPr>
          <w:szCs w:val="21"/>
        </w:rPr>
      </w:pPr>
      <w:r>
        <w:rPr>
          <w:szCs w:val="21"/>
        </w:rPr>
        <w:t>（a）8字试模示意图</w:t>
      </w:r>
    </w:p>
    <w:p>
      <w:pPr>
        <w:tabs>
          <w:tab w:val="left" w:pos="710"/>
          <w:tab w:val="left" w:pos="860"/>
        </w:tabs>
        <w:snapToGrid w:val="0"/>
        <w:spacing w:line="360" w:lineRule="auto"/>
        <w:jc w:val="center"/>
        <w:rPr>
          <w:szCs w:val="21"/>
        </w:rPr>
      </w:pPr>
      <w:r>
        <w:drawing>
          <wp:inline distT="0" distB="0" distL="0" distR="0">
            <wp:extent cx="2782570" cy="2206625"/>
            <wp:effectExtent l="0" t="0" r="0" b="3175"/>
            <wp:docPr id="19002244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224434" name="图片 1"/>
                    <pic:cNvPicPr>
                      <a:picLocks noChangeAspect="1"/>
                    </pic:cNvPicPr>
                  </pic:nvPicPr>
                  <pic:blipFill>
                    <a:blip r:embed="rId16"/>
                    <a:stretch>
                      <a:fillRect/>
                    </a:stretch>
                  </pic:blipFill>
                  <pic:spPr>
                    <a:xfrm>
                      <a:off x="0" y="0"/>
                      <a:ext cx="2782800" cy="2206800"/>
                    </a:xfrm>
                    <a:prstGeom prst="rect">
                      <a:avLst/>
                    </a:prstGeom>
                  </pic:spPr>
                </pic:pic>
              </a:graphicData>
            </a:graphic>
          </wp:inline>
        </w:drawing>
      </w:r>
    </w:p>
    <w:p>
      <w:pPr>
        <w:tabs>
          <w:tab w:val="left" w:pos="710"/>
          <w:tab w:val="left" w:pos="860"/>
        </w:tabs>
        <w:snapToGrid w:val="0"/>
        <w:spacing w:line="360" w:lineRule="auto"/>
        <w:jc w:val="center"/>
        <w:rPr>
          <w:szCs w:val="21"/>
        </w:rPr>
      </w:pPr>
      <w:r>
        <w:rPr>
          <w:szCs w:val="21"/>
        </w:rPr>
        <w:t>（b）直线试模示意图</w:t>
      </w:r>
    </w:p>
    <w:p>
      <w:pPr>
        <w:tabs>
          <w:tab w:val="left" w:pos="710"/>
          <w:tab w:val="left" w:pos="860"/>
        </w:tabs>
        <w:snapToGrid w:val="0"/>
        <w:spacing w:line="360" w:lineRule="auto"/>
        <w:jc w:val="center"/>
        <w:rPr>
          <w:szCs w:val="21"/>
        </w:rPr>
      </w:pPr>
      <w:r>
        <w:rPr>
          <w:szCs w:val="21"/>
        </w:rPr>
        <w:t xml:space="preserve">图2 试模示意图 </w:t>
      </w:r>
    </w:p>
    <w:p>
      <w:pPr>
        <w:tabs>
          <w:tab w:val="left" w:pos="710"/>
          <w:tab w:val="left" w:pos="860"/>
        </w:tabs>
        <w:snapToGrid w:val="0"/>
        <w:spacing w:before="120" w:beforeLines="50" w:after="120" w:afterLines="50"/>
        <w:rPr>
          <w:szCs w:val="21"/>
        </w:rPr>
      </w:pPr>
    </w:p>
    <w:p>
      <w:pPr>
        <w:pStyle w:val="2"/>
        <w:rPr>
          <w:b w:val="0"/>
        </w:rPr>
      </w:pPr>
      <w:bookmarkStart w:id="11" w:name="_Toc180395260"/>
      <w:r>
        <w:rPr>
          <w:b w:val="0"/>
        </w:rPr>
        <w:t>5 计量特性</w:t>
      </w:r>
      <w:bookmarkEnd w:id="11"/>
    </w:p>
    <w:p>
      <w:pPr>
        <w:spacing w:line="360" w:lineRule="auto"/>
        <w:ind w:firstLine="480" w:firstLineChars="200"/>
        <w:rPr>
          <w:rFonts w:eastAsia="黑体"/>
          <w:szCs w:val="21"/>
        </w:rPr>
      </w:pPr>
      <w:r>
        <w:rPr>
          <w:sz w:val="24"/>
        </w:rPr>
        <w:t>沥青延度试验仪的计量特性见表1。</w:t>
      </w:r>
    </w:p>
    <w:p>
      <w:pPr>
        <w:spacing w:line="360" w:lineRule="auto"/>
        <w:jc w:val="center"/>
        <w:rPr>
          <w:rFonts w:eastAsia="黑体"/>
          <w:szCs w:val="21"/>
        </w:rPr>
      </w:pPr>
      <w:r>
        <w:rPr>
          <w:rFonts w:eastAsia="黑体"/>
          <w:szCs w:val="21"/>
        </w:rPr>
        <w:t>表1 沥青延度试验仪计量特性及性能指标</w:t>
      </w:r>
    </w:p>
    <w:tbl>
      <w:tblPr>
        <w:tblStyle w:val="21"/>
        <w:tblW w:w="7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4331"/>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9" w:type="dxa"/>
            <w:vAlign w:val="center"/>
          </w:tcPr>
          <w:p>
            <w:pPr>
              <w:jc w:val="center"/>
              <w:rPr>
                <w:szCs w:val="21"/>
              </w:rPr>
            </w:pPr>
            <w:r>
              <w:rPr>
                <w:szCs w:val="21"/>
              </w:rPr>
              <w:t>序号</w:t>
            </w:r>
          </w:p>
        </w:tc>
        <w:tc>
          <w:tcPr>
            <w:tcW w:w="4331" w:type="dxa"/>
            <w:vAlign w:val="center"/>
          </w:tcPr>
          <w:p>
            <w:pPr>
              <w:jc w:val="center"/>
              <w:rPr>
                <w:szCs w:val="21"/>
              </w:rPr>
            </w:pPr>
            <w:r>
              <w:rPr>
                <w:szCs w:val="21"/>
              </w:rPr>
              <w:t>计量特性</w:t>
            </w:r>
          </w:p>
        </w:tc>
        <w:tc>
          <w:tcPr>
            <w:tcW w:w="2009" w:type="dxa"/>
            <w:vAlign w:val="center"/>
          </w:tcPr>
          <w:p>
            <w:pPr>
              <w:jc w:val="center"/>
              <w:rPr>
                <w:szCs w:val="21"/>
              </w:rPr>
            </w:pPr>
            <w:r>
              <w:rPr>
                <w:szCs w:val="21"/>
              </w:rPr>
              <w:t>性能指标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9" w:type="dxa"/>
            <w:vAlign w:val="center"/>
          </w:tcPr>
          <w:p>
            <w:pPr>
              <w:jc w:val="center"/>
              <w:rPr>
                <w:szCs w:val="21"/>
              </w:rPr>
            </w:pPr>
            <w:r>
              <w:rPr>
                <w:szCs w:val="21"/>
              </w:rPr>
              <w:t>1</w:t>
            </w:r>
          </w:p>
        </w:tc>
        <w:tc>
          <w:tcPr>
            <w:tcW w:w="4331" w:type="dxa"/>
            <w:vAlign w:val="center"/>
          </w:tcPr>
          <w:p>
            <w:pPr>
              <w:jc w:val="center"/>
              <w:rPr>
                <w:szCs w:val="21"/>
              </w:rPr>
            </w:pPr>
            <w:r>
              <w:rPr>
                <w:szCs w:val="21"/>
              </w:rPr>
              <w:t>温度偏差</w:t>
            </w:r>
          </w:p>
        </w:tc>
        <w:tc>
          <w:tcPr>
            <w:tcW w:w="2009" w:type="dxa"/>
            <w:vAlign w:val="center"/>
          </w:tcPr>
          <w:p>
            <w:pPr>
              <w:jc w:val="center"/>
              <w:rPr>
                <w:szCs w:val="21"/>
              </w:rPr>
            </w:pPr>
            <w:r>
              <w:t xml:space="preserve">±0.5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9" w:type="dxa"/>
            <w:vAlign w:val="center"/>
          </w:tcPr>
          <w:p>
            <w:pPr>
              <w:jc w:val="center"/>
              <w:rPr>
                <w:szCs w:val="21"/>
              </w:rPr>
            </w:pPr>
            <w:r>
              <w:rPr>
                <w:szCs w:val="21"/>
              </w:rPr>
              <w:t>2</w:t>
            </w:r>
          </w:p>
        </w:tc>
        <w:tc>
          <w:tcPr>
            <w:tcW w:w="4331" w:type="dxa"/>
            <w:vAlign w:val="center"/>
          </w:tcPr>
          <w:p>
            <w:pPr>
              <w:jc w:val="center"/>
              <w:rPr>
                <w:szCs w:val="21"/>
              </w:rPr>
            </w:pPr>
            <w:r>
              <w:rPr>
                <w:szCs w:val="21"/>
              </w:rPr>
              <w:t>温度均匀度</w:t>
            </w:r>
          </w:p>
        </w:tc>
        <w:tc>
          <w:tcPr>
            <w:tcW w:w="2009" w:type="dxa"/>
            <w:vAlign w:val="center"/>
          </w:tcPr>
          <w:p>
            <w:pPr>
              <w:jc w:val="center"/>
              <w:rPr>
                <w:szCs w:val="21"/>
              </w:rPr>
            </w:pPr>
            <w:r>
              <w:t xml:space="preserve">0.5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9" w:type="dxa"/>
            <w:vAlign w:val="center"/>
          </w:tcPr>
          <w:p>
            <w:pPr>
              <w:jc w:val="center"/>
              <w:rPr>
                <w:szCs w:val="21"/>
              </w:rPr>
            </w:pPr>
            <w:r>
              <w:rPr>
                <w:szCs w:val="21"/>
              </w:rPr>
              <w:t>3</w:t>
            </w:r>
          </w:p>
        </w:tc>
        <w:tc>
          <w:tcPr>
            <w:tcW w:w="4331" w:type="dxa"/>
            <w:vAlign w:val="center"/>
          </w:tcPr>
          <w:p>
            <w:pPr>
              <w:jc w:val="center"/>
              <w:rPr>
                <w:szCs w:val="21"/>
              </w:rPr>
            </w:pPr>
            <w:r>
              <w:rPr>
                <w:szCs w:val="21"/>
              </w:rPr>
              <w:t>温度波动度</w:t>
            </w:r>
          </w:p>
        </w:tc>
        <w:tc>
          <w:tcPr>
            <w:tcW w:w="2009" w:type="dxa"/>
            <w:vAlign w:val="center"/>
          </w:tcPr>
          <w:p>
            <w:pPr>
              <w:jc w:val="center"/>
              <w:rPr>
                <w:szCs w:val="21"/>
              </w:rPr>
            </w:pPr>
            <w:r>
              <w:t>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9" w:type="dxa"/>
            <w:vAlign w:val="center"/>
          </w:tcPr>
          <w:p>
            <w:pPr>
              <w:jc w:val="center"/>
              <w:rPr>
                <w:szCs w:val="21"/>
              </w:rPr>
            </w:pPr>
            <w:r>
              <w:rPr>
                <w:szCs w:val="21"/>
              </w:rPr>
              <w:t>4</w:t>
            </w:r>
          </w:p>
        </w:tc>
        <w:tc>
          <w:tcPr>
            <w:tcW w:w="4331" w:type="dxa"/>
            <w:vAlign w:val="center"/>
          </w:tcPr>
          <w:p>
            <w:pPr>
              <w:jc w:val="center"/>
              <w:rPr>
                <w:szCs w:val="21"/>
              </w:rPr>
            </w:pPr>
            <w:r>
              <w:t>拉伸长度示值误差</w:t>
            </w:r>
          </w:p>
        </w:tc>
        <w:tc>
          <w:tcPr>
            <w:tcW w:w="2009" w:type="dxa"/>
            <w:vAlign w:val="center"/>
          </w:tcPr>
          <w:p>
            <w:pPr>
              <w:jc w:val="center"/>
              <w:rPr>
                <w:szCs w:val="21"/>
              </w:rPr>
            </w:pPr>
            <w:r>
              <w:t xml:space="preserve">±1 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9" w:type="dxa"/>
            <w:vAlign w:val="center"/>
          </w:tcPr>
          <w:p>
            <w:pPr>
              <w:jc w:val="center"/>
              <w:rPr>
                <w:szCs w:val="21"/>
              </w:rPr>
            </w:pPr>
            <w:r>
              <w:rPr>
                <w:szCs w:val="21"/>
              </w:rPr>
              <w:t>5</w:t>
            </w:r>
          </w:p>
        </w:tc>
        <w:tc>
          <w:tcPr>
            <w:tcW w:w="4331" w:type="dxa"/>
            <w:vAlign w:val="center"/>
          </w:tcPr>
          <w:p>
            <w:pPr>
              <w:jc w:val="center"/>
              <w:rPr>
                <w:szCs w:val="21"/>
              </w:rPr>
            </w:pPr>
            <w:r>
              <w:t>拉伸速度相对误差</w:t>
            </w:r>
          </w:p>
        </w:tc>
        <w:tc>
          <w:tcPr>
            <w:tcW w:w="2009" w:type="dxa"/>
            <w:vAlign w:val="center"/>
          </w:tcPr>
          <w:p>
            <w:pPr>
              <w:jc w:val="center"/>
              <w:rPr>
                <w:szCs w:val="21"/>
              </w:rPr>
            </w:pPr>
            <w: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9" w:type="dxa"/>
            <w:vAlign w:val="center"/>
          </w:tcPr>
          <w:p>
            <w:pPr>
              <w:jc w:val="center"/>
              <w:rPr>
                <w:szCs w:val="21"/>
              </w:rPr>
            </w:pPr>
            <w:r>
              <w:rPr>
                <w:szCs w:val="21"/>
              </w:rPr>
              <w:t>6</w:t>
            </w:r>
          </w:p>
        </w:tc>
        <w:tc>
          <w:tcPr>
            <w:tcW w:w="4331" w:type="dxa"/>
            <w:vAlign w:val="center"/>
          </w:tcPr>
          <w:p>
            <w:pPr>
              <w:jc w:val="center"/>
              <w:rPr>
                <w:szCs w:val="21"/>
              </w:rPr>
            </w:pPr>
            <w:r>
              <w:t>摆动量</w:t>
            </w:r>
          </w:p>
        </w:tc>
        <w:tc>
          <w:tcPr>
            <w:tcW w:w="2009" w:type="dxa"/>
            <w:vAlign w:val="center"/>
          </w:tcPr>
          <w:p>
            <w:pPr>
              <w:jc w:val="center"/>
              <w:rPr>
                <w:szCs w:val="21"/>
              </w:rPr>
            </w:pPr>
            <w:r>
              <w:t>不大于0.5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9" w:type="dxa"/>
            <w:vAlign w:val="center"/>
          </w:tcPr>
          <w:p>
            <w:pPr>
              <w:jc w:val="center"/>
              <w:rPr>
                <w:szCs w:val="21"/>
              </w:rPr>
            </w:pPr>
            <w:r>
              <w:rPr>
                <w:szCs w:val="21"/>
              </w:rPr>
              <w:t>7</w:t>
            </w:r>
          </w:p>
        </w:tc>
        <w:tc>
          <w:tcPr>
            <w:tcW w:w="4331" w:type="dxa"/>
            <w:vAlign w:val="center"/>
          </w:tcPr>
          <w:p>
            <w:pPr>
              <w:jc w:val="center"/>
              <w:rPr>
                <w:szCs w:val="21"/>
              </w:rPr>
            </w:pPr>
            <w:r>
              <w:t>拉伸力相对误差</w:t>
            </w:r>
          </w:p>
        </w:tc>
        <w:tc>
          <w:tcPr>
            <w:tcW w:w="2009" w:type="dxa"/>
            <w:vAlign w:val="center"/>
          </w:tcPr>
          <w:p>
            <w:pPr>
              <w:jc w:val="center"/>
              <w:rPr>
                <w:szCs w:val="21"/>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9" w:type="dxa"/>
            <w:vAlign w:val="center"/>
          </w:tcPr>
          <w:p>
            <w:pPr>
              <w:jc w:val="center"/>
              <w:rPr>
                <w:szCs w:val="21"/>
              </w:rPr>
            </w:pPr>
            <w:r>
              <w:rPr>
                <w:szCs w:val="21"/>
              </w:rPr>
              <w:t>8</w:t>
            </w:r>
          </w:p>
        </w:tc>
        <w:tc>
          <w:tcPr>
            <w:tcW w:w="4331" w:type="dxa"/>
            <w:vAlign w:val="center"/>
          </w:tcPr>
          <w:p>
            <w:pPr>
              <w:jc w:val="center"/>
              <w:rPr>
                <w:szCs w:val="21"/>
              </w:rPr>
            </w:pPr>
            <w:r>
              <w:t>试模尺寸</w:t>
            </w:r>
          </w:p>
        </w:tc>
        <w:tc>
          <w:tcPr>
            <w:tcW w:w="2009" w:type="dxa"/>
            <w:vAlign w:val="center"/>
          </w:tcPr>
          <w:p>
            <w:pPr>
              <w:jc w:val="center"/>
              <w:rPr>
                <w:szCs w:val="21"/>
              </w:rPr>
            </w:pPr>
            <w:r>
              <w:t>内腔尺寸应符合表2、表3的要求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99" w:type="dxa"/>
            <w:vAlign w:val="center"/>
          </w:tcPr>
          <w:p>
            <w:pPr>
              <w:jc w:val="center"/>
              <w:rPr>
                <w:szCs w:val="21"/>
              </w:rPr>
            </w:pPr>
            <w:r>
              <w:rPr>
                <w:szCs w:val="21"/>
              </w:rPr>
              <w:t>9</w:t>
            </w:r>
          </w:p>
        </w:tc>
        <w:tc>
          <w:tcPr>
            <w:tcW w:w="4331" w:type="dxa"/>
            <w:vAlign w:val="center"/>
          </w:tcPr>
          <w:p>
            <w:pPr>
              <w:jc w:val="center"/>
              <w:rPr>
                <w:szCs w:val="21"/>
              </w:rPr>
            </w:pPr>
            <w:r>
              <w:t>试模内壁和底板表面粗糙度</w:t>
            </w:r>
          </w:p>
        </w:tc>
        <w:tc>
          <w:tcPr>
            <w:tcW w:w="2009" w:type="dxa"/>
            <w:vAlign w:val="center"/>
          </w:tcPr>
          <w:p>
            <w:pPr>
              <w:jc w:val="center"/>
              <w:rPr>
                <w:szCs w:val="21"/>
              </w:rPr>
            </w:pPr>
            <w:r>
              <w:t>不大于</w:t>
            </w:r>
            <w:r>
              <w:rPr>
                <w:i/>
                <w:iCs/>
              </w:rPr>
              <w:t>Ra</w:t>
            </w:r>
            <w:r>
              <w:t>：0.2 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239" w:type="dxa"/>
            <w:gridSpan w:val="3"/>
            <w:vAlign w:val="center"/>
          </w:tcPr>
          <w:p>
            <w:pPr>
              <w:jc w:val="left"/>
              <w:rPr>
                <w:szCs w:val="21"/>
              </w:rPr>
            </w:pPr>
            <w:r>
              <w:rPr>
                <w:szCs w:val="21"/>
              </w:rPr>
              <w:t>注：</w:t>
            </w:r>
          </w:p>
          <w:p>
            <w:pPr>
              <w:pStyle w:val="49"/>
              <w:numPr>
                <w:ilvl w:val="0"/>
                <w:numId w:val="4"/>
              </w:numPr>
              <w:ind w:firstLineChars="0"/>
              <w:jc w:val="left"/>
              <w:rPr>
                <w:rFonts w:ascii="Times New Roman" w:hAnsi="Times New Roman"/>
                <w:szCs w:val="21"/>
              </w:rPr>
            </w:pPr>
            <w:r>
              <w:rPr>
                <w:rFonts w:ascii="Times New Roman" w:hAnsi="Times New Roman"/>
                <w:szCs w:val="21"/>
              </w:rPr>
              <w:t>以上指标不用于符合性判别，仅供参考</w:t>
            </w:r>
          </w:p>
        </w:tc>
      </w:tr>
    </w:tbl>
    <w:p>
      <w:pPr>
        <w:spacing w:before="240" w:line="360" w:lineRule="auto"/>
        <w:jc w:val="center"/>
        <w:rPr>
          <w:rFonts w:eastAsia="黑体"/>
          <w:szCs w:val="21"/>
        </w:rPr>
      </w:pPr>
      <w:bookmarkStart w:id="12" w:name="_Toc180395261"/>
      <w:r>
        <w:rPr>
          <w:rFonts w:eastAsia="黑体"/>
          <w:szCs w:val="21"/>
        </w:rPr>
        <w:t xml:space="preserve">              表2 8字试模尺寸要求               单位：mm</w:t>
      </w:r>
    </w:p>
    <w:tbl>
      <w:tblPr>
        <w:tblStyle w:val="22"/>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1"/>
        <w:gridCol w:w="3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szCs w:val="21"/>
              </w:rPr>
            </w:pPr>
            <w:r>
              <w:rPr>
                <w:szCs w:val="21"/>
              </w:rPr>
              <w:t>项目</w:t>
            </w:r>
          </w:p>
        </w:tc>
        <w:tc>
          <w:tcPr>
            <w:tcW w:w="3658" w:type="dxa"/>
          </w:tcPr>
          <w:p>
            <w:pPr>
              <w:spacing w:line="360" w:lineRule="auto"/>
              <w:jc w:val="center"/>
              <w:rPr>
                <w:szCs w:val="21"/>
              </w:rPr>
            </w:pPr>
            <w:r>
              <w:rPr>
                <w:szCs w:val="21"/>
              </w:rPr>
              <w:t>尺寸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szCs w:val="21"/>
              </w:rPr>
            </w:pPr>
            <w:r>
              <w:rPr>
                <w:i/>
                <w:iCs/>
                <w:szCs w:val="21"/>
              </w:rPr>
              <w:t>L</w:t>
            </w:r>
            <w:r>
              <w:rPr>
                <w:szCs w:val="21"/>
                <w:vertAlign w:val="subscript"/>
              </w:rPr>
              <w:t>1</w:t>
            </w:r>
            <w:r>
              <w:rPr>
                <w:szCs w:val="21"/>
              </w:rPr>
              <w:t>—试件总长</w:t>
            </w:r>
          </w:p>
        </w:tc>
        <w:tc>
          <w:tcPr>
            <w:tcW w:w="3658" w:type="dxa"/>
          </w:tcPr>
          <w:p>
            <w:pPr>
              <w:spacing w:line="360" w:lineRule="auto"/>
              <w:jc w:val="center"/>
              <w:rPr>
                <w:szCs w:val="21"/>
              </w:rPr>
            </w:pPr>
            <w:r>
              <w:rPr>
                <w:szCs w:val="21"/>
              </w:rPr>
              <w:t>75±0.5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rFonts w:eastAsia="黑体"/>
                <w:szCs w:val="21"/>
              </w:rPr>
            </w:pPr>
            <w:r>
              <w:rPr>
                <w:i/>
                <w:iCs/>
                <w:szCs w:val="21"/>
              </w:rPr>
              <w:t>L</w:t>
            </w:r>
            <w:r>
              <w:rPr>
                <w:szCs w:val="21"/>
                <w:vertAlign w:val="subscript"/>
              </w:rPr>
              <w:t>2</w:t>
            </w:r>
            <w:r>
              <w:rPr>
                <w:szCs w:val="21"/>
              </w:rPr>
              <w:t>—端模间距</w:t>
            </w:r>
          </w:p>
        </w:tc>
        <w:tc>
          <w:tcPr>
            <w:tcW w:w="3658" w:type="dxa"/>
          </w:tcPr>
          <w:p>
            <w:pPr>
              <w:spacing w:line="360" w:lineRule="auto"/>
              <w:jc w:val="center"/>
              <w:rPr>
                <w:rFonts w:eastAsia="黑体"/>
                <w:szCs w:val="21"/>
              </w:rPr>
            </w:pPr>
            <w:r>
              <w:rPr>
                <w:szCs w:val="21"/>
              </w:rPr>
              <w:t>30±0.25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rFonts w:eastAsia="黑体"/>
                <w:szCs w:val="21"/>
              </w:rPr>
            </w:pPr>
            <w:r>
              <w:rPr>
                <w:i/>
                <w:iCs/>
                <w:szCs w:val="21"/>
              </w:rPr>
              <w:t>L</w:t>
            </w:r>
            <w:r>
              <w:rPr>
                <w:szCs w:val="21"/>
                <w:vertAlign w:val="subscript"/>
              </w:rPr>
              <w:t>3</w:t>
            </w:r>
            <w:r>
              <w:rPr>
                <w:szCs w:val="21"/>
              </w:rPr>
              <w:t>—肩长</w:t>
            </w:r>
          </w:p>
        </w:tc>
        <w:tc>
          <w:tcPr>
            <w:tcW w:w="3658" w:type="dxa"/>
          </w:tcPr>
          <w:p>
            <w:pPr>
              <w:spacing w:line="360" w:lineRule="auto"/>
              <w:jc w:val="center"/>
              <w:rPr>
                <w:rFonts w:eastAsia="黑体"/>
                <w:szCs w:val="21"/>
              </w:rPr>
            </w:pPr>
            <w:r>
              <w:rPr>
                <w:szCs w:val="21"/>
              </w:rPr>
              <w:t>7.0±0.2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rFonts w:eastAsia="黑体"/>
                <w:szCs w:val="21"/>
              </w:rPr>
            </w:pPr>
            <w:r>
              <w:rPr>
                <w:i/>
                <w:iCs/>
                <w:szCs w:val="21"/>
              </w:rPr>
              <w:t>L</w:t>
            </w:r>
            <w:r>
              <w:rPr>
                <w:szCs w:val="21"/>
                <w:vertAlign w:val="subscript"/>
              </w:rPr>
              <w:t>4</w:t>
            </w:r>
            <w:r>
              <w:rPr>
                <w:szCs w:val="21"/>
              </w:rPr>
              <w:t>—最小横断面宽</w:t>
            </w:r>
          </w:p>
        </w:tc>
        <w:tc>
          <w:tcPr>
            <w:tcW w:w="3658" w:type="dxa"/>
          </w:tcPr>
          <w:p>
            <w:pPr>
              <w:spacing w:line="360" w:lineRule="auto"/>
              <w:jc w:val="center"/>
              <w:rPr>
                <w:rFonts w:eastAsia="黑体"/>
                <w:szCs w:val="21"/>
              </w:rPr>
            </w:pPr>
            <w:r>
              <w:rPr>
                <w:szCs w:val="21"/>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rFonts w:eastAsia="黑体"/>
                <w:szCs w:val="21"/>
              </w:rPr>
            </w:pPr>
            <w:r>
              <w:rPr>
                <w:i/>
                <w:iCs/>
                <w:szCs w:val="21"/>
              </w:rPr>
              <w:t>L</w:t>
            </w:r>
            <w:r>
              <w:rPr>
                <w:szCs w:val="21"/>
                <w:vertAlign w:val="subscript"/>
              </w:rPr>
              <w:t>5</w:t>
            </w:r>
            <w:r>
              <w:rPr>
                <w:szCs w:val="21"/>
              </w:rPr>
              <w:t>—端模口宽</w:t>
            </w:r>
          </w:p>
        </w:tc>
        <w:tc>
          <w:tcPr>
            <w:tcW w:w="3658" w:type="dxa"/>
          </w:tcPr>
          <w:p>
            <w:pPr>
              <w:spacing w:line="360" w:lineRule="auto"/>
              <w:jc w:val="center"/>
              <w:rPr>
                <w:rFonts w:eastAsia="黑体"/>
                <w:szCs w:val="21"/>
              </w:rPr>
            </w:pPr>
            <w:r>
              <w:rPr>
                <w:szCs w:val="21"/>
              </w:rPr>
              <w:t>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i/>
                <w:iCs/>
                <w:szCs w:val="21"/>
              </w:rPr>
            </w:pPr>
            <w:r>
              <w:rPr>
                <w:i/>
                <w:iCs/>
                <w:szCs w:val="21"/>
              </w:rPr>
              <w:t>L</w:t>
            </w:r>
            <w:r>
              <w:rPr>
                <w:szCs w:val="21"/>
                <w:vertAlign w:val="subscript"/>
              </w:rPr>
              <w:t>6</w:t>
            </w:r>
            <w:r>
              <w:rPr>
                <w:szCs w:val="21"/>
              </w:rPr>
              <w:t>—厚度</w:t>
            </w:r>
          </w:p>
        </w:tc>
        <w:tc>
          <w:tcPr>
            <w:tcW w:w="3658" w:type="dxa"/>
          </w:tcPr>
          <w:p>
            <w:pPr>
              <w:spacing w:line="360" w:lineRule="auto"/>
              <w:jc w:val="center"/>
              <w:rPr>
                <w:szCs w:val="21"/>
              </w:rPr>
            </w:pPr>
            <w:r>
              <w:rPr>
                <w:szCs w:val="21"/>
              </w:rPr>
              <w:t>10±0.1</w:t>
            </w:r>
          </w:p>
        </w:tc>
      </w:tr>
    </w:tbl>
    <w:p/>
    <w:p>
      <w:pPr>
        <w:jc w:val="center"/>
      </w:pPr>
      <w:r>
        <w:rPr>
          <w:rFonts w:eastAsia="黑体"/>
          <w:szCs w:val="21"/>
        </w:rPr>
        <w:t xml:space="preserve">               表3 直线试模尺寸要求               单位：mm</w:t>
      </w:r>
    </w:p>
    <w:tbl>
      <w:tblPr>
        <w:tblStyle w:val="22"/>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1"/>
        <w:gridCol w:w="3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szCs w:val="21"/>
              </w:rPr>
            </w:pPr>
            <w:r>
              <w:rPr>
                <w:szCs w:val="21"/>
              </w:rPr>
              <w:t>项目</w:t>
            </w:r>
          </w:p>
        </w:tc>
        <w:tc>
          <w:tcPr>
            <w:tcW w:w="3658" w:type="dxa"/>
          </w:tcPr>
          <w:p>
            <w:pPr>
              <w:spacing w:line="360" w:lineRule="auto"/>
              <w:jc w:val="center"/>
              <w:rPr>
                <w:szCs w:val="21"/>
              </w:rPr>
            </w:pPr>
            <w:r>
              <w:rPr>
                <w:szCs w:val="21"/>
              </w:rPr>
              <w:t>尺寸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szCs w:val="21"/>
              </w:rPr>
            </w:pPr>
            <w:r>
              <w:rPr>
                <w:i/>
                <w:iCs/>
                <w:szCs w:val="21"/>
              </w:rPr>
              <w:t>L</w:t>
            </w:r>
            <w:r>
              <w:rPr>
                <w:szCs w:val="21"/>
                <w:vertAlign w:val="subscript"/>
              </w:rPr>
              <w:t>1</w:t>
            </w:r>
            <w:r>
              <w:rPr>
                <w:szCs w:val="21"/>
              </w:rPr>
              <w:t>′—试件总长</w:t>
            </w:r>
          </w:p>
        </w:tc>
        <w:tc>
          <w:tcPr>
            <w:tcW w:w="3658" w:type="dxa"/>
          </w:tcPr>
          <w:p>
            <w:pPr>
              <w:spacing w:line="360" w:lineRule="auto"/>
              <w:jc w:val="center"/>
              <w:rPr>
                <w:szCs w:val="21"/>
              </w:rPr>
            </w:pPr>
            <w:r>
              <w:rPr>
                <w:szCs w:val="21"/>
              </w:rPr>
              <w:t>75±0.5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rFonts w:eastAsia="黑体"/>
                <w:szCs w:val="21"/>
              </w:rPr>
            </w:pPr>
            <w:r>
              <w:rPr>
                <w:i/>
                <w:iCs/>
                <w:szCs w:val="21"/>
              </w:rPr>
              <w:t>L</w:t>
            </w:r>
            <w:r>
              <w:rPr>
                <w:szCs w:val="21"/>
                <w:vertAlign w:val="subscript"/>
              </w:rPr>
              <w:t>2</w:t>
            </w:r>
            <w:r>
              <w:rPr>
                <w:szCs w:val="21"/>
              </w:rPr>
              <w:t>′—端模长度</w:t>
            </w:r>
          </w:p>
        </w:tc>
        <w:tc>
          <w:tcPr>
            <w:tcW w:w="3658" w:type="dxa"/>
          </w:tcPr>
          <w:p>
            <w:pPr>
              <w:spacing w:line="360" w:lineRule="auto"/>
              <w:jc w:val="center"/>
              <w:rPr>
                <w:rFonts w:eastAsia="黑体"/>
                <w:szCs w:val="21"/>
              </w:rPr>
            </w:pPr>
            <w:r>
              <w:rPr>
                <w:szCs w:val="21"/>
              </w:rPr>
              <w:t>36.5±0.5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rFonts w:eastAsia="黑体"/>
                <w:szCs w:val="21"/>
              </w:rPr>
            </w:pPr>
            <w:r>
              <w:rPr>
                <w:i/>
                <w:iCs/>
                <w:szCs w:val="21"/>
              </w:rPr>
              <w:t>L</w:t>
            </w:r>
            <w:r>
              <w:rPr>
                <w:szCs w:val="21"/>
                <w:vertAlign w:val="subscript"/>
              </w:rPr>
              <w:t>3</w:t>
            </w:r>
            <w:r>
              <w:rPr>
                <w:szCs w:val="21"/>
              </w:rPr>
              <w:t>′—端模间距</w:t>
            </w:r>
          </w:p>
        </w:tc>
        <w:tc>
          <w:tcPr>
            <w:tcW w:w="3658" w:type="dxa"/>
          </w:tcPr>
          <w:p>
            <w:pPr>
              <w:spacing w:line="360" w:lineRule="auto"/>
              <w:jc w:val="center"/>
              <w:rPr>
                <w:rFonts w:eastAsia="黑体"/>
                <w:szCs w:val="21"/>
              </w:rPr>
            </w:pPr>
            <w:r>
              <w:rPr>
                <w:szCs w:val="21"/>
              </w:rPr>
              <w:t>30±0.25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rFonts w:eastAsia="黑体"/>
                <w:szCs w:val="21"/>
              </w:rPr>
            </w:pPr>
            <w:r>
              <w:rPr>
                <w:i/>
                <w:iCs/>
                <w:szCs w:val="21"/>
              </w:rPr>
              <w:t>L</w:t>
            </w:r>
            <w:r>
              <w:rPr>
                <w:szCs w:val="21"/>
                <w:vertAlign w:val="subscript"/>
              </w:rPr>
              <w:t>4</w:t>
            </w:r>
            <w:r>
              <w:rPr>
                <w:szCs w:val="21"/>
              </w:rPr>
              <w:t>′—端模口宽</w:t>
            </w:r>
          </w:p>
        </w:tc>
        <w:tc>
          <w:tcPr>
            <w:tcW w:w="3658" w:type="dxa"/>
          </w:tcPr>
          <w:p>
            <w:pPr>
              <w:spacing w:line="360" w:lineRule="auto"/>
              <w:jc w:val="center"/>
              <w:rPr>
                <w:rFonts w:eastAsia="黑体"/>
                <w:szCs w:val="21"/>
              </w:rPr>
            </w:pPr>
            <w:r>
              <w:rPr>
                <w:szCs w:val="21"/>
              </w:rPr>
              <w:t>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rFonts w:eastAsia="黑体"/>
                <w:szCs w:val="21"/>
              </w:rPr>
            </w:pPr>
            <w:r>
              <w:rPr>
                <w:i/>
                <w:iCs/>
                <w:szCs w:val="21"/>
              </w:rPr>
              <w:t>L</w:t>
            </w:r>
            <w:r>
              <w:rPr>
                <w:szCs w:val="21"/>
                <w:vertAlign w:val="subscript"/>
              </w:rPr>
              <w:t>5</w:t>
            </w:r>
            <w:r>
              <w:rPr>
                <w:szCs w:val="21"/>
              </w:rPr>
              <w:t>′—肩长</w:t>
            </w:r>
          </w:p>
        </w:tc>
        <w:tc>
          <w:tcPr>
            <w:tcW w:w="3658" w:type="dxa"/>
          </w:tcPr>
          <w:p>
            <w:pPr>
              <w:spacing w:line="360" w:lineRule="auto"/>
              <w:jc w:val="center"/>
              <w:rPr>
                <w:rFonts w:eastAsia="黑体"/>
                <w:szCs w:val="21"/>
              </w:rPr>
            </w:pPr>
            <w:r>
              <w:rPr>
                <w:szCs w:val="21"/>
              </w:rPr>
              <w:t>7.0±0.2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spacing w:line="360" w:lineRule="auto"/>
              <w:jc w:val="center"/>
              <w:rPr>
                <w:i/>
                <w:iCs/>
                <w:szCs w:val="21"/>
              </w:rPr>
            </w:pPr>
            <w:r>
              <w:rPr>
                <w:i/>
                <w:iCs/>
                <w:szCs w:val="21"/>
              </w:rPr>
              <w:t>L</w:t>
            </w:r>
            <w:r>
              <w:rPr>
                <w:szCs w:val="21"/>
                <w:vertAlign w:val="subscript"/>
              </w:rPr>
              <w:t>6</w:t>
            </w:r>
            <w:r>
              <w:rPr>
                <w:szCs w:val="21"/>
              </w:rPr>
              <w:t>′—最小横断面宽</w:t>
            </w:r>
          </w:p>
        </w:tc>
        <w:tc>
          <w:tcPr>
            <w:tcW w:w="3658" w:type="dxa"/>
          </w:tcPr>
          <w:p>
            <w:pPr>
              <w:spacing w:line="360" w:lineRule="auto"/>
              <w:jc w:val="center"/>
              <w:rPr>
                <w:szCs w:val="21"/>
              </w:rPr>
            </w:pPr>
            <w:r>
              <w:rPr>
                <w:szCs w:val="21"/>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tcPr>
          <w:p>
            <w:pPr>
              <w:tabs>
                <w:tab w:val="left" w:pos="710"/>
                <w:tab w:val="left" w:pos="860"/>
              </w:tabs>
              <w:snapToGrid w:val="0"/>
              <w:spacing w:line="360" w:lineRule="auto"/>
              <w:ind w:firstLine="1470" w:firstLineChars="700"/>
              <w:rPr>
                <w:i/>
                <w:iCs/>
                <w:szCs w:val="21"/>
              </w:rPr>
            </w:pPr>
            <w:r>
              <w:rPr>
                <w:i/>
                <w:iCs/>
                <w:szCs w:val="21"/>
              </w:rPr>
              <w:t>L</w:t>
            </w:r>
            <w:r>
              <w:rPr>
                <w:szCs w:val="21"/>
                <w:vertAlign w:val="subscript"/>
              </w:rPr>
              <w:t>7</w:t>
            </w:r>
            <w:r>
              <w:rPr>
                <w:szCs w:val="21"/>
              </w:rPr>
              <w:t>′—厚度</w:t>
            </w:r>
          </w:p>
        </w:tc>
        <w:tc>
          <w:tcPr>
            <w:tcW w:w="3658" w:type="dxa"/>
          </w:tcPr>
          <w:p>
            <w:pPr>
              <w:spacing w:line="360" w:lineRule="auto"/>
              <w:jc w:val="center"/>
              <w:rPr>
                <w:szCs w:val="21"/>
              </w:rPr>
            </w:pPr>
            <w:r>
              <w:rPr>
                <w:szCs w:val="21"/>
              </w:rPr>
              <w:t>10±0.1</w:t>
            </w:r>
          </w:p>
        </w:tc>
      </w:tr>
    </w:tbl>
    <w:p/>
    <w:p>
      <w:pPr>
        <w:pStyle w:val="2"/>
        <w:rPr>
          <w:b w:val="0"/>
        </w:rPr>
      </w:pPr>
      <w:r>
        <w:rPr>
          <w:b w:val="0"/>
        </w:rPr>
        <w:t>6 校准条件</w:t>
      </w:r>
      <w:bookmarkEnd w:id="12"/>
    </w:p>
    <w:p>
      <w:pPr>
        <w:pStyle w:val="4"/>
      </w:pPr>
      <w:bookmarkStart w:id="13" w:name="_Toc180395262"/>
      <w:r>
        <w:t>6.1 环境条件</w:t>
      </w:r>
      <w:bookmarkEnd w:id="13"/>
    </w:p>
    <w:p>
      <w:pPr>
        <w:spacing w:line="360" w:lineRule="auto"/>
        <w:rPr>
          <w:sz w:val="24"/>
        </w:rPr>
      </w:pPr>
      <w:r>
        <w:rPr>
          <w:sz w:val="24"/>
        </w:rPr>
        <w:t>6.1.1 环境温度：（15～30）℃；</w:t>
      </w:r>
    </w:p>
    <w:p>
      <w:pPr>
        <w:spacing w:line="360" w:lineRule="auto"/>
        <w:rPr>
          <w:sz w:val="24"/>
        </w:rPr>
      </w:pPr>
      <w:r>
        <w:rPr>
          <w:sz w:val="24"/>
        </w:rPr>
        <w:t>6.1.2相对湿度：20%～80%；</w:t>
      </w:r>
    </w:p>
    <w:p>
      <w:pPr>
        <w:spacing w:line="360" w:lineRule="auto"/>
        <w:rPr>
          <w:sz w:val="24"/>
        </w:rPr>
      </w:pPr>
      <w:r>
        <w:rPr>
          <w:sz w:val="24"/>
        </w:rPr>
        <w:t>6.1.3其他：周围应无强烈振动及腐蚀性气体存在，并无明显空气流动，应避免其他冷、热源的影响。</w:t>
      </w:r>
    </w:p>
    <w:p>
      <w:pPr>
        <w:pStyle w:val="4"/>
      </w:pPr>
      <w:bookmarkStart w:id="14" w:name="_Toc180395263"/>
      <w:r>
        <w:t>6.2 测量标准及其他设备</w:t>
      </w:r>
      <w:bookmarkEnd w:id="14"/>
    </w:p>
    <w:p>
      <w:pPr>
        <w:spacing w:line="360" w:lineRule="auto"/>
        <w:ind w:firstLine="480" w:firstLineChars="200"/>
        <w:rPr>
          <w:sz w:val="24"/>
        </w:rPr>
      </w:pPr>
      <w:r>
        <w:rPr>
          <w:sz w:val="24"/>
        </w:rPr>
        <w:t>测量标准技术要求见表4。</w:t>
      </w:r>
    </w:p>
    <w:p>
      <w:pPr>
        <w:spacing w:line="360" w:lineRule="auto"/>
        <w:jc w:val="center"/>
        <w:rPr>
          <w:rFonts w:eastAsia="黑体"/>
          <w:szCs w:val="21"/>
        </w:rPr>
      </w:pPr>
      <w:r>
        <w:rPr>
          <w:rFonts w:eastAsia="黑体"/>
          <w:szCs w:val="21"/>
        </w:rPr>
        <w:t>表4 测量标准技术要求</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126"/>
        <w:gridCol w:w="24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szCs w:val="21"/>
              </w:rPr>
            </w:pPr>
            <w:r>
              <w:rPr>
                <w:szCs w:val="21"/>
              </w:rPr>
              <w:t>序号</w:t>
            </w:r>
          </w:p>
        </w:tc>
        <w:tc>
          <w:tcPr>
            <w:tcW w:w="2126" w:type="dxa"/>
            <w:vAlign w:val="center"/>
          </w:tcPr>
          <w:p>
            <w:pPr>
              <w:spacing w:line="360" w:lineRule="auto"/>
              <w:jc w:val="center"/>
              <w:rPr>
                <w:szCs w:val="21"/>
              </w:rPr>
            </w:pPr>
            <w:r>
              <w:rPr>
                <w:szCs w:val="21"/>
              </w:rPr>
              <w:t>名称</w:t>
            </w:r>
          </w:p>
        </w:tc>
        <w:tc>
          <w:tcPr>
            <w:tcW w:w="2481" w:type="dxa"/>
            <w:vAlign w:val="center"/>
          </w:tcPr>
          <w:p>
            <w:pPr>
              <w:spacing w:line="360" w:lineRule="auto"/>
              <w:jc w:val="center"/>
              <w:rPr>
                <w:szCs w:val="21"/>
              </w:rPr>
            </w:pPr>
            <w:r>
              <w:rPr>
                <w:szCs w:val="21"/>
              </w:rPr>
              <w:t>测量范围</w:t>
            </w:r>
          </w:p>
        </w:tc>
        <w:tc>
          <w:tcPr>
            <w:tcW w:w="3381" w:type="dxa"/>
            <w:vAlign w:val="center"/>
          </w:tcPr>
          <w:p>
            <w:pPr>
              <w:spacing w:line="360" w:lineRule="auto"/>
              <w:jc w:val="center"/>
              <w:rPr>
                <w:szCs w:val="21"/>
              </w:rPr>
            </w:pPr>
            <w:r>
              <w:rPr>
                <w:szCs w:val="21"/>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szCs w:val="21"/>
              </w:rPr>
            </w:pPr>
            <w:r>
              <w:rPr>
                <w:szCs w:val="21"/>
              </w:rPr>
              <w:t>1</w:t>
            </w:r>
          </w:p>
        </w:tc>
        <w:tc>
          <w:tcPr>
            <w:tcW w:w="2126" w:type="dxa"/>
            <w:vAlign w:val="center"/>
          </w:tcPr>
          <w:p>
            <w:pPr>
              <w:spacing w:line="360" w:lineRule="auto"/>
              <w:jc w:val="center"/>
              <w:rPr>
                <w:szCs w:val="21"/>
              </w:rPr>
            </w:pPr>
            <w:r>
              <w:rPr>
                <w:szCs w:val="21"/>
              </w:rPr>
              <w:t>温度测量标准</w:t>
            </w:r>
          </w:p>
        </w:tc>
        <w:tc>
          <w:tcPr>
            <w:tcW w:w="2481" w:type="dxa"/>
            <w:vAlign w:val="center"/>
          </w:tcPr>
          <w:p>
            <w:pPr>
              <w:spacing w:line="360" w:lineRule="auto"/>
              <w:jc w:val="center"/>
              <w:rPr>
                <w:szCs w:val="21"/>
              </w:rPr>
            </w:pPr>
            <w:r>
              <w:rPr>
                <w:szCs w:val="21"/>
              </w:rPr>
              <w:t>（0～50） ℃</w:t>
            </w:r>
          </w:p>
        </w:tc>
        <w:tc>
          <w:tcPr>
            <w:tcW w:w="3381" w:type="dxa"/>
            <w:vAlign w:val="center"/>
          </w:tcPr>
          <w:p>
            <w:pPr>
              <w:spacing w:line="400" w:lineRule="exact"/>
              <w:jc w:val="center"/>
              <w:rPr>
                <w:szCs w:val="21"/>
              </w:rPr>
            </w:pPr>
            <w:r>
              <w:rPr>
                <w:szCs w:val="21"/>
              </w:rPr>
              <w:t>分辨力：不低于0.01 ℃</w:t>
            </w:r>
          </w:p>
          <w:p>
            <w:pPr>
              <w:spacing w:line="360" w:lineRule="auto"/>
              <w:jc w:val="center"/>
              <w:rPr>
                <w:szCs w:val="21"/>
              </w:rPr>
            </w:pPr>
            <w:r>
              <w:rPr>
                <w:szCs w:val="21"/>
              </w:rPr>
              <w:t>MPE：±（0.15 ℃+0.002|</w:t>
            </w:r>
            <w:r>
              <w:rPr>
                <w:i/>
                <w:iCs/>
                <w:szCs w:val="21"/>
              </w:rPr>
              <w:t>t</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szCs w:val="21"/>
              </w:rPr>
            </w:pPr>
            <w:r>
              <w:rPr>
                <w:szCs w:val="21"/>
              </w:rPr>
              <w:t>2</w:t>
            </w:r>
          </w:p>
        </w:tc>
        <w:tc>
          <w:tcPr>
            <w:tcW w:w="2126" w:type="dxa"/>
            <w:vAlign w:val="center"/>
          </w:tcPr>
          <w:p>
            <w:pPr>
              <w:spacing w:line="360" w:lineRule="auto"/>
              <w:jc w:val="center"/>
              <w:rPr>
                <w:szCs w:val="21"/>
              </w:rPr>
            </w:pPr>
            <w:r>
              <w:rPr>
                <w:szCs w:val="21"/>
              </w:rPr>
              <w:t>钢卷尺</w:t>
            </w:r>
          </w:p>
        </w:tc>
        <w:tc>
          <w:tcPr>
            <w:tcW w:w="2481" w:type="dxa"/>
            <w:vAlign w:val="center"/>
          </w:tcPr>
          <w:p>
            <w:pPr>
              <w:spacing w:line="360" w:lineRule="auto"/>
              <w:jc w:val="center"/>
              <w:rPr>
                <w:szCs w:val="21"/>
              </w:rPr>
            </w:pPr>
            <w:r>
              <w:rPr>
                <w:szCs w:val="21"/>
              </w:rPr>
              <w:t>（0～5）m</w:t>
            </w:r>
          </w:p>
        </w:tc>
        <w:tc>
          <w:tcPr>
            <w:tcW w:w="3381" w:type="dxa"/>
            <w:vAlign w:val="center"/>
          </w:tcPr>
          <w:p>
            <w:pPr>
              <w:spacing w:line="400" w:lineRule="exact"/>
              <w:jc w:val="center"/>
              <w:rPr>
                <w:szCs w:val="21"/>
              </w:rPr>
            </w:pPr>
            <w:r>
              <w:rPr>
                <w:szCs w:val="21"/>
              </w:rPr>
              <w:t>1 mm分度</w:t>
            </w:r>
          </w:p>
          <w:p>
            <w:pPr>
              <w:spacing w:line="360" w:lineRule="auto"/>
              <w:jc w:val="center"/>
              <w:rPr>
                <w:szCs w:val="21"/>
              </w:rPr>
            </w:pPr>
            <w:r>
              <w:rPr>
                <w:szCs w:val="21"/>
              </w:rPr>
              <w:t xml:space="preserve">Ⅰ级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szCs w:val="21"/>
              </w:rPr>
            </w:pPr>
            <w:r>
              <w:rPr>
                <w:szCs w:val="21"/>
              </w:rPr>
              <w:t>3</w:t>
            </w:r>
          </w:p>
        </w:tc>
        <w:tc>
          <w:tcPr>
            <w:tcW w:w="2126" w:type="dxa"/>
            <w:vAlign w:val="center"/>
          </w:tcPr>
          <w:p>
            <w:pPr>
              <w:spacing w:line="360" w:lineRule="auto"/>
              <w:jc w:val="center"/>
              <w:rPr>
                <w:bCs/>
                <w:szCs w:val="21"/>
              </w:rPr>
            </w:pPr>
            <w:r>
              <w:rPr>
                <w:szCs w:val="21"/>
              </w:rPr>
              <w:t>秒表</w:t>
            </w:r>
          </w:p>
        </w:tc>
        <w:tc>
          <w:tcPr>
            <w:tcW w:w="2481" w:type="dxa"/>
            <w:vAlign w:val="center"/>
          </w:tcPr>
          <w:p>
            <w:pPr>
              <w:spacing w:line="360" w:lineRule="auto"/>
              <w:jc w:val="center"/>
              <w:rPr>
                <w:bCs/>
                <w:szCs w:val="21"/>
              </w:rPr>
            </w:pPr>
            <w:r>
              <w:rPr>
                <w:szCs w:val="21"/>
              </w:rPr>
              <w:t>（0～3600）s</w:t>
            </w:r>
          </w:p>
        </w:tc>
        <w:tc>
          <w:tcPr>
            <w:tcW w:w="3381" w:type="dxa"/>
            <w:vAlign w:val="center"/>
          </w:tcPr>
          <w:p>
            <w:pPr>
              <w:spacing w:line="360" w:lineRule="auto"/>
              <w:jc w:val="center"/>
              <w:rPr>
                <w:bCs/>
                <w:szCs w:val="21"/>
              </w:rPr>
            </w:pPr>
            <w:r>
              <w:rPr>
                <w:szCs w:val="21"/>
              </w:rPr>
              <w:t>MPE：±0.10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szCs w:val="21"/>
              </w:rPr>
            </w:pPr>
            <w:r>
              <w:rPr>
                <w:szCs w:val="21"/>
              </w:rPr>
              <w:t>4</w:t>
            </w:r>
          </w:p>
        </w:tc>
        <w:tc>
          <w:tcPr>
            <w:tcW w:w="2126" w:type="dxa"/>
            <w:vAlign w:val="center"/>
          </w:tcPr>
          <w:p>
            <w:pPr>
              <w:spacing w:line="360" w:lineRule="auto"/>
              <w:jc w:val="center"/>
              <w:rPr>
                <w:bCs/>
                <w:szCs w:val="21"/>
              </w:rPr>
            </w:pPr>
            <w:r>
              <w:rPr>
                <w:szCs w:val="21"/>
              </w:rPr>
              <w:t>摆动量测量标准</w:t>
            </w:r>
          </w:p>
        </w:tc>
        <w:tc>
          <w:tcPr>
            <w:tcW w:w="2481" w:type="dxa"/>
            <w:vAlign w:val="center"/>
          </w:tcPr>
          <w:p>
            <w:pPr>
              <w:spacing w:line="400" w:lineRule="exact"/>
              <w:rPr>
                <w:szCs w:val="21"/>
              </w:rPr>
            </w:pPr>
            <w:r>
              <w:rPr>
                <w:szCs w:val="21"/>
              </w:rPr>
              <w:t>摆动量：（0～10） mm</w:t>
            </w:r>
          </w:p>
          <w:p>
            <w:pPr>
              <w:spacing w:line="360" w:lineRule="auto"/>
              <w:rPr>
                <w:bCs/>
                <w:szCs w:val="21"/>
              </w:rPr>
            </w:pPr>
            <w:r>
              <w:rPr>
                <w:bCs/>
                <w:szCs w:val="21"/>
              </w:rPr>
              <w:t>基准面长度：＞600 mm</w:t>
            </w:r>
          </w:p>
        </w:tc>
        <w:tc>
          <w:tcPr>
            <w:tcW w:w="3381" w:type="dxa"/>
            <w:vAlign w:val="center"/>
          </w:tcPr>
          <w:p>
            <w:pPr>
              <w:spacing w:line="400" w:lineRule="exact"/>
              <w:jc w:val="center"/>
              <w:rPr>
                <w:szCs w:val="21"/>
              </w:rPr>
            </w:pPr>
            <w:r>
              <w:rPr>
                <w:szCs w:val="21"/>
              </w:rPr>
              <w:t>百分表分度值：不低于0.01 mm</w:t>
            </w:r>
          </w:p>
          <w:p>
            <w:pPr>
              <w:spacing w:line="400" w:lineRule="exact"/>
              <w:ind w:firstLine="1050" w:firstLineChars="500"/>
              <w:rPr>
                <w:szCs w:val="21"/>
              </w:rPr>
            </w:pPr>
            <w:r>
              <w:rPr>
                <w:szCs w:val="21"/>
              </w:rPr>
              <w:t>MPE：±0.1 mm</w:t>
            </w:r>
          </w:p>
          <w:p>
            <w:pPr>
              <w:spacing w:line="400" w:lineRule="exact"/>
              <w:jc w:val="center"/>
              <w:rPr>
                <w:szCs w:val="21"/>
              </w:rPr>
            </w:pPr>
            <w:r>
              <w:rPr>
                <w:szCs w:val="21"/>
              </w:rPr>
              <w:t>基准面平整度&gt; 0.01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szCs w:val="21"/>
              </w:rPr>
            </w:pPr>
            <w:r>
              <w:rPr>
                <w:szCs w:val="21"/>
              </w:rPr>
              <w:t>5</w:t>
            </w:r>
          </w:p>
        </w:tc>
        <w:tc>
          <w:tcPr>
            <w:tcW w:w="2126" w:type="dxa"/>
            <w:vAlign w:val="center"/>
          </w:tcPr>
          <w:p>
            <w:pPr>
              <w:spacing w:line="360" w:lineRule="auto"/>
              <w:jc w:val="center"/>
              <w:rPr>
                <w:bCs/>
                <w:szCs w:val="21"/>
              </w:rPr>
            </w:pPr>
            <w:r>
              <w:rPr>
                <w:bCs/>
                <w:szCs w:val="21"/>
              </w:rPr>
              <w:t>标准测力仪</w:t>
            </w:r>
          </w:p>
        </w:tc>
        <w:tc>
          <w:tcPr>
            <w:tcW w:w="2481" w:type="dxa"/>
            <w:vAlign w:val="center"/>
          </w:tcPr>
          <w:p>
            <w:pPr>
              <w:spacing w:line="360" w:lineRule="auto"/>
              <w:jc w:val="center"/>
              <w:rPr>
                <w:bCs/>
                <w:szCs w:val="21"/>
              </w:rPr>
            </w:pPr>
            <w:r>
              <w:rPr>
                <w:bCs/>
                <w:szCs w:val="21"/>
              </w:rPr>
              <w:t>（0～300）N</w:t>
            </w:r>
          </w:p>
        </w:tc>
        <w:tc>
          <w:tcPr>
            <w:tcW w:w="3381" w:type="dxa"/>
            <w:vAlign w:val="center"/>
          </w:tcPr>
          <w:p>
            <w:pPr>
              <w:spacing w:line="360" w:lineRule="auto"/>
              <w:jc w:val="center"/>
              <w:rPr>
                <w:bCs/>
                <w:szCs w:val="21"/>
              </w:rPr>
            </w:pPr>
            <w:r>
              <w:rPr>
                <w:bCs/>
                <w:szCs w:val="21"/>
              </w:rPr>
              <w:t>0.3级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szCs w:val="21"/>
              </w:rPr>
            </w:pPr>
            <w:r>
              <w:rPr>
                <w:szCs w:val="21"/>
              </w:rPr>
              <w:t>6</w:t>
            </w:r>
          </w:p>
        </w:tc>
        <w:tc>
          <w:tcPr>
            <w:tcW w:w="2126" w:type="dxa"/>
            <w:vAlign w:val="center"/>
          </w:tcPr>
          <w:p>
            <w:pPr>
              <w:spacing w:line="360" w:lineRule="auto"/>
              <w:jc w:val="center"/>
              <w:rPr>
                <w:bCs/>
                <w:szCs w:val="21"/>
              </w:rPr>
            </w:pPr>
            <w:r>
              <w:rPr>
                <w:bCs/>
                <w:szCs w:val="21"/>
              </w:rPr>
              <w:t xml:space="preserve">数显卡尺 </w:t>
            </w:r>
          </w:p>
        </w:tc>
        <w:tc>
          <w:tcPr>
            <w:tcW w:w="2481" w:type="dxa"/>
            <w:vAlign w:val="center"/>
          </w:tcPr>
          <w:p>
            <w:pPr>
              <w:spacing w:line="360" w:lineRule="auto"/>
              <w:jc w:val="center"/>
              <w:rPr>
                <w:bCs/>
                <w:szCs w:val="21"/>
              </w:rPr>
            </w:pPr>
            <w:r>
              <w:rPr>
                <w:bCs/>
                <w:szCs w:val="21"/>
              </w:rPr>
              <w:t>（0～150） mm</w:t>
            </w:r>
          </w:p>
        </w:tc>
        <w:tc>
          <w:tcPr>
            <w:tcW w:w="3381" w:type="dxa"/>
            <w:vAlign w:val="center"/>
          </w:tcPr>
          <w:p>
            <w:pPr>
              <w:spacing w:line="360" w:lineRule="auto"/>
              <w:jc w:val="center"/>
              <w:rPr>
                <w:bCs/>
                <w:szCs w:val="21"/>
              </w:rPr>
            </w:pPr>
            <w:r>
              <w:rPr>
                <w:bCs/>
                <w:szCs w:val="21"/>
              </w:rPr>
              <w:t>± 0.03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szCs w:val="21"/>
              </w:rPr>
            </w:pPr>
            <w:r>
              <w:rPr>
                <w:szCs w:val="21"/>
              </w:rPr>
              <w:t>7</w:t>
            </w:r>
          </w:p>
        </w:tc>
        <w:tc>
          <w:tcPr>
            <w:tcW w:w="2126" w:type="dxa"/>
            <w:vAlign w:val="center"/>
          </w:tcPr>
          <w:p>
            <w:pPr>
              <w:spacing w:line="360" w:lineRule="auto"/>
              <w:jc w:val="center"/>
              <w:rPr>
                <w:bCs/>
                <w:szCs w:val="21"/>
              </w:rPr>
            </w:pPr>
            <w:r>
              <w:rPr>
                <w:bCs/>
                <w:szCs w:val="21"/>
              </w:rPr>
              <w:t>表面粗糙度样板块</w:t>
            </w:r>
          </w:p>
        </w:tc>
        <w:tc>
          <w:tcPr>
            <w:tcW w:w="2481" w:type="dxa"/>
            <w:vAlign w:val="center"/>
          </w:tcPr>
          <w:p>
            <w:pPr>
              <w:spacing w:line="360" w:lineRule="auto"/>
              <w:jc w:val="center"/>
              <w:rPr>
                <w:bCs/>
                <w:szCs w:val="21"/>
              </w:rPr>
            </w:pPr>
            <w:r>
              <w:rPr>
                <w:i/>
                <w:iCs/>
              </w:rPr>
              <w:t>Ra</w:t>
            </w:r>
            <w:r>
              <w:t>:</w:t>
            </w:r>
            <w:r>
              <w:rPr>
                <w:bCs/>
                <w:szCs w:val="21"/>
              </w:rPr>
              <w:t>（0.025～6.3）</w:t>
            </w:r>
          </w:p>
        </w:tc>
        <w:tc>
          <w:tcPr>
            <w:tcW w:w="3381" w:type="dxa"/>
            <w:vAlign w:val="center"/>
          </w:tcPr>
          <w:p>
            <w:pPr>
              <w:spacing w:line="360" w:lineRule="auto"/>
              <w:jc w:val="center"/>
              <w:rPr>
                <w:bCs/>
                <w:szCs w:val="21"/>
              </w:rPr>
            </w:pPr>
            <w:r>
              <w:rPr>
                <w:bCs/>
                <w:szCs w:val="21"/>
              </w:rPr>
              <w:t>-17%～+12%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gridSpan w:val="4"/>
            <w:vAlign w:val="center"/>
          </w:tcPr>
          <w:p>
            <w:pPr>
              <w:tabs>
                <w:tab w:val="left" w:pos="1770"/>
              </w:tabs>
              <w:spacing w:line="400" w:lineRule="exact"/>
              <w:jc w:val="left"/>
              <w:rPr>
                <w:sz w:val="18"/>
                <w:szCs w:val="18"/>
              </w:rPr>
            </w:pPr>
            <w:r>
              <w:rPr>
                <w:sz w:val="18"/>
                <w:szCs w:val="18"/>
              </w:rPr>
              <w:t>注：</w:t>
            </w:r>
          </w:p>
          <w:p>
            <w:pPr>
              <w:tabs>
                <w:tab w:val="left" w:pos="1770"/>
              </w:tabs>
              <w:spacing w:line="360" w:lineRule="auto"/>
              <w:jc w:val="left"/>
              <w:rPr>
                <w:sz w:val="18"/>
                <w:szCs w:val="18"/>
              </w:rPr>
            </w:pPr>
            <w:r>
              <w:rPr>
                <w:sz w:val="18"/>
                <w:szCs w:val="18"/>
              </w:rPr>
              <w:t>1 温度传感器尺寸应尽量小，并且能整体浸入工作空间。</w:t>
            </w:r>
          </w:p>
          <w:p>
            <w:pPr>
              <w:tabs>
                <w:tab w:val="left" w:pos="1770"/>
              </w:tabs>
              <w:spacing w:line="360" w:lineRule="auto"/>
              <w:jc w:val="left"/>
              <w:rPr>
                <w:sz w:val="18"/>
                <w:szCs w:val="18"/>
              </w:rPr>
            </w:pPr>
            <w:r>
              <w:rPr>
                <w:sz w:val="18"/>
                <w:szCs w:val="18"/>
              </w:rPr>
              <w:t>2 温度测量标准技术要求为包含传感器和温度显示（记录）仪的整体要求。</w:t>
            </w:r>
          </w:p>
          <w:p>
            <w:pPr>
              <w:tabs>
                <w:tab w:val="left" w:pos="1770"/>
              </w:tabs>
              <w:spacing w:line="360" w:lineRule="auto"/>
              <w:jc w:val="left"/>
              <w:rPr>
                <w:sz w:val="18"/>
                <w:szCs w:val="18"/>
              </w:rPr>
            </w:pPr>
            <w:r>
              <w:rPr>
                <w:sz w:val="18"/>
                <w:szCs w:val="18"/>
              </w:rPr>
              <w:t>3 温度测量标准各通道的测量结果应包含修正值。</w:t>
            </w:r>
          </w:p>
          <w:p>
            <w:pPr>
              <w:tabs>
                <w:tab w:val="left" w:pos="1770"/>
              </w:tabs>
              <w:spacing w:line="360" w:lineRule="auto"/>
              <w:jc w:val="left"/>
              <w:rPr>
                <w:sz w:val="18"/>
                <w:szCs w:val="18"/>
              </w:rPr>
            </w:pPr>
            <w:r>
              <w:rPr>
                <w:sz w:val="18"/>
                <w:szCs w:val="18"/>
              </w:rPr>
              <w:t>4 温度测量标准也可采用满足要求的其他设备。</w:t>
            </w:r>
          </w:p>
          <w:p>
            <w:pPr>
              <w:tabs>
                <w:tab w:val="left" w:pos="1770"/>
              </w:tabs>
              <w:spacing w:line="360" w:lineRule="auto"/>
              <w:jc w:val="left"/>
              <w:rPr>
                <w:sz w:val="18"/>
                <w:szCs w:val="18"/>
              </w:rPr>
            </w:pPr>
            <w:r>
              <w:rPr>
                <w:sz w:val="18"/>
                <w:szCs w:val="18"/>
              </w:rPr>
              <w:t>5 标准测力仪应配合弹簧、专用固定设备使用，使弹簧、拉力传感器、拉伸装置稳定连接。</w:t>
            </w:r>
          </w:p>
          <w:p>
            <w:pPr>
              <w:spacing w:line="360" w:lineRule="auto"/>
              <w:rPr>
                <w:szCs w:val="21"/>
              </w:rPr>
            </w:pPr>
            <w:r>
              <w:rPr>
                <w:sz w:val="18"/>
                <w:szCs w:val="18"/>
              </w:rPr>
              <w:t>6摆动量测量标准应具有横向、纵向微调功能，能测量横向、纵向两个方向的摆动量，可自动记录数值。</w:t>
            </w:r>
          </w:p>
        </w:tc>
      </w:tr>
    </w:tbl>
    <w:p>
      <w:pPr>
        <w:spacing w:line="360" w:lineRule="auto"/>
        <w:rPr>
          <w:szCs w:val="21"/>
        </w:rPr>
      </w:pPr>
    </w:p>
    <w:p>
      <w:pPr>
        <w:pStyle w:val="2"/>
      </w:pPr>
      <w:bookmarkStart w:id="15" w:name="_Toc180395264"/>
      <w:r>
        <w:t>7校准项目和校准方法</w:t>
      </w:r>
      <w:bookmarkEnd w:id="15"/>
    </w:p>
    <w:p>
      <w:pPr>
        <w:pStyle w:val="4"/>
      </w:pPr>
      <w:bookmarkStart w:id="16" w:name="_Toc105588792"/>
      <w:bookmarkStart w:id="17" w:name="_Toc180395265"/>
      <w:r>
        <w:t>7.1校准前的准备</w:t>
      </w:r>
      <w:bookmarkEnd w:id="16"/>
      <w:bookmarkEnd w:id="17"/>
    </w:p>
    <w:p>
      <w:pPr>
        <w:spacing w:line="360" w:lineRule="auto"/>
        <w:ind w:firstLine="482"/>
        <w:rPr>
          <w:sz w:val="24"/>
        </w:rPr>
      </w:pPr>
      <w:r>
        <w:rPr>
          <w:sz w:val="24"/>
        </w:rPr>
        <w:t>校准前应对沥青延度试验仪主机各部分进行检查，确保仪器功能正常，没有影响计量特性的因素后再进行校准。</w:t>
      </w:r>
    </w:p>
    <w:p>
      <w:pPr>
        <w:spacing w:line="360" w:lineRule="auto"/>
        <w:ind w:firstLine="482"/>
        <w:rPr>
          <w:sz w:val="24"/>
        </w:rPr>
      </w:pPr>
      <w:r>
        <w:rPr>
          <w:sz w:val="24"/>
        </w:rPr>
        <w:t>对沥青延度试验仪及测量标准进行预热，预热时间不少于30 min或满足测量标准使用要求。</w:t>
      </w:r>
    </w:p>
    <w:p>
      <w:pPr>
        <w:spacing w:line="360" w:lineRule="auto"/>
        <w:ind w:firstLine="482"/>
        <w:rPr>
          <w:sz w:val="24"/>
        </w:rPr>
      </w:pPr>
    </w:p>
    <w:p>
      <w:pPr>
        <w:pStyle w:val="4"/>
      </w:pPr>
      <w:bookmarkStart w:id="18" w:name="_Toc180395266"/>
      <w:r>
        <w:t>7.2温度校准</w:t>
      </w:r>
      <w:bookmarkEnd w:id="18"/>
    </w:p>
    <w:p>
      <w:pPr>
        <w:snapToGrid w:val="0"/>
        <w:spacing w:line="360" w:lineRule="auto"/>
        <w:ind w:firstLine="480" w:firstLineChars="200"/>
        <w:rPr>
          <w:sz w:val="24"/>
        </w:rPr>
      </w:pPr>
      <w:r>
        <w:rPr>
          <w:sz w:val="24"/>
        </w:rPr>
        <w:t>可根据用户需求选择相应校准点，沥青延度试验仪的常用温度点为5 ℃、10 ℃、15 ℃、25 ℃。</w:t>
      </w:r>
    </w:p>
    <w:p>
      <w:pPr>
        <w:snapToGrid w:val="0"/>
        <w:spacing w:line="360" w:lineRule="auto"/>
        <w:ind w:firstLine="480" w:firstLineChars="200"/>
        <w:rPr>
          <w:sz w:val="24"/>
        </w:rPr>
      </w:pPr>
      <w:r>
        <w:rPr>
          <w:sz w:val="24"/>
        </w:rPr>
        <w:t>将温度传感器按图3的布点方式置于水槽测试区域或按用户需要确定布点数量，浸入高度与试件相同（水面距温度传感器应不小于25 mm）。</w:t>
      </w:r>
    </w:p>
    <w:p>
      <w:pPr>
        <w:snapToGrid w:val="0"/>
        <w:spacing w:line="360" w:lineRule="auto"/>
        <w:ind w:firstLine="480" w:firstLineChars="200"/>
        <w:rPr>
          <w:sz w:val="24"/>
        </w:rPr>
      </w:pPr>
      <w:r>
        <w:rPr>
          <w:sz w:val="24"/>
        </w:rPr>
        <w:t xml:space="preserve">设定沥青延度试验仪的试验温度，待水槽内水温稳定后，在仪器实验条件下对温度进行校准，每隔2 min记录一次温度测量标准的示值，共记录11次。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gridCol w:w="1656"/>
        <w:gridCol w:w="1656"/>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56" w:type="dxa"/>
            <w:vAlign w:val="center"/>
          </w:tcPr>
          <w:p>
            <w:pPr>
              <w:snapToGrid w:val="0"/>
              <w:spacing w:line="360" w:lineRule="auto"/>
              <w:jc w:val="center"/>
              <w:rPr>
                <w:sz w:val="24"/>
              </w:rPr>
            </w:pPr>
            <w:r>
              <w:rPr>
                <w:sz w:val="24"/>
              </w:rPr>
              <w:t>1</w:t>
            </w:r>
          </w:p>
        </w:tc>
        <w:tc>
          <w:tcPr>
            <w:tcW w:w="1656" w:type="dxa"/>
            <w:vAlign w:val="center"/>
          </w:tcPr>
          <w:p>
            <w:pPr>
              <w:snapToGrid w:val="0"/>
              <w:spacing w:line="360" w:lineRule="auto"/>
              <w:jc w:val="center"/>
              <w:rPr>
                <w:sz w:val="24"/>
              </w:rPr>
            </w:pPr>
          </w:p>
        </w:tc>
        <w:tc>
          <w:tcPr>
            <w:tcW w:w="1656" w:type="dxa"/>
            <w:vAlign w:val="center"/>
          </w:tcPr>
          <w:p>
            <w:pPr>
              <w:snapToGrid w:val="0"/>
              <w:spacing w:line="360" w:lineRule="auto"/>
              <w:jc w:val="center"/>
              <w:rPr>
                <w:sz w:val="24"/>
              </w:rPr>
            </w:pPr>
          </w:p>
        </w:tc>
        <w:tc>
          <w:tcPr>
            <w:tcW w:w="1656" w:type="dxa"/>
            <w:vAlign w:val="center"/>
          </w:tcPr>
          <w:p>
            <w:pPr>
              <w:snapToGrid w:val="0"/>
              <w:spacing w:line="360" w:lineRule="auto"/>
              <w:jc w:val="center"/>
              <w:rPr>
                <w:sz w:val="24"/>
              </w:rPr>
            </w:pPr>
            <w:r>
              <w:rPr>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56" w:type="dxa"/>
            <w:vAlign w:val="center"/>
          </w:tcPr>
          <w:p>
            <w:pPr>
              <w:snapToGrid w:val="0"/>
              <w:spacing w:line="360" w:lineRule="auto"/>
              <w:jc w:val="center"/>
              <w:rPr>
                <w:sz w:val="24"/>
              </w:rPr>
            </w:pPr>
          </w:p>
        </w:tc>
        <w:tc>
          <w:tcPr>
            <w:tcW w:w="1656" w:type="dxa"/>
            <w:vAlign w:val="center"/>
          </w:tcPr>
          <w:p>
            <w:pPr>
              <w:snapToGrid w:val="0"/>
              <w:spacing w:line="360" w:lineRule="auto"/>
              <w:jc w:val="center"/>
              <w:rPr>
                <w:sz w:val="24"/>
              </w:rPr>
            </w:pPr>
            <w:r>
              <w:rPr>
                <w:sz w:val="24"/>
              </w:rPr>
              <w:t>3</w:t>
            </w:r>
          </w:p>
        </w:tc>
        <w:tc>
          <w:tcPr>
            <w:tcW w:w="1656" w:type="dxa"/>
            <w:vAlign w:val="center"/>
          </w:tcPr>
          <w:p>
            <w:pPr>
              <w:snapToGrid w:val="0"/>
              <w:spacing w:line="360" w:lineRule="auto"/>
              <w:jc w:val="center"/>
              <w:rPr>
                <w:sz w:val="24"/>
              </w:rPr>
            </w:pPr>
            <w:r>
              <w:rPr>
                <w:sz w:val="24"/>
              </w:rPr>
              <w:t>4</w:t>
            </w:r>
          </w:p>
        </w:tc>
        <w:tc>
          <w:tcPr>
            <w:tcW w:w="1656" w:type="dxa"/>
            <w:vAlign w:val="center"/>
          </w:tcPr>
          <w:p>
            <w:pPr>
              <w:snapToGrid w:val="0"/>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56" w:type="dxa"/>
            <w:vAlign w:val="center"/>
          </w:tcPr>
          <w:p>
            <w:pPr>
              <w:snapToGrid w:val="0"/>
              <w:spacing w:line="360" w:lineRule="auto"/>
              <w:jc w:val="center"/>
              <w:rPr>
                <w:sz w:val="24"/>
              </w:rPr>
            </w:pPr>
            <w:r>
              <w:rPr>
                <w:sz w:val="24"/>
              </w:rPr>
              <w:t>5</w:t>
            </w:r>
          </w:p>
        </w:tc>
        <w:tc>
          <w:tcPr>
            <w:tcW w:w="1656" w:type="dxa"/>
            <w:vAlign w:val="center"/>
          </w:tcPr>
          <w:p>
            <w:pPr>
              <w:snapToGrid w:val="0"/>
              <w:spacing w:line="360" w:lineRule="auto"/>
              <w:jc w:val="center"/>
              <w:rPr>
                <w:sz w:val="24"/>
              </w:rPr>
            </w:pPr>
          </w:p>
        </w:tc>
        <w:tc>
          <w:tcPr>
            <w:tcW w:w="1656" w:type="dxa"/>
            <w:vAlign w:val="center"/>
          </w:tcPr>
          <w:p>
            <w:pPr>
              <w:snapToGrid w:val="0"/>
              <w:spacing w:line="360" w:lineRule="auto"/>
              <w:jc w:val="center"/>
              <w:rPr>
                <w:sz w:val="24"/>
              </w:rPr>
            </w:pPr>
          </w:p>
        </w:tc>
        <w:tc>
          <w:tcPr>
            <w:tcW w:w="1656" w:type="dxa"/>
            <w:vAlign w:val="center"/>
          </w:tcPr>
          <w:p>
            <w:pPr>
              <w:snapToGrid w:val="0"/>
              <w:spacing w:line="360" w:lineRule="auto"/>
              <w:jc w:val="center"/>
              <w:rPr>
                <w:sz w:val="24"/>
              </w:rPr>
            </w:pPr>
            <w:r>
              <w:rPr>
                <w:sz w:val="24"/>
              </w:rPr>
              <w:t>6</w:t>
            </w:r>
          </w:p>
        </w:tc>
      </w:tr>
    </w:tbl>
    <w:p>
      <w:pPr>
        <w:snapToGrid w:val="0"/>
        <w:spacing w:before="120" w:beforeLines="50" w:line="360" w:lineRule="auto"/>
        <w:jc w:val="center"/>
        <w:rPr>
          <w:szCs w:val="21"/>
        </w:rPr>
      </w:pPr>
      <w:r>
        <w:rPr>
          <w:szCs w:val="21"/>
        </w:rPr>
        <w:t>图3 温度传感器应布放示意图</w:t>
      </w:r>
    </w:p>
    <w:p>
      <w:pPr>
        <w:spacing w:line="360" w:lineRule="auto"/>
        <w:rPr>
          <w:sz w:val="24"/>
        </w:rPr>
      </w:pPr>
    </w:p>
    <w:p>
      <w:pPr>
        <w:spacing w:line="360" w:lineRule="auto"/>
        <w:rPr>
          <w:sz w:val="24"/>
        </w:rPr>
      </w:pPr>
      <w:r>
        <w:rPr>
          <w:sz w:val="24"/>
        </w:rPr>
        <w:t>7.2.1温度偏差数据处理</w:t>
      </w:r>
    </w:p>
    <w:p>
      <w:pPr>
        <w:tabs>
          <w:tab w:val="left" w:pos="1620"/>
          <w:tab w:val="left" w:pos="8460"/>
        </w:tabs>
        <w:spacing w:line="360" w:lineRule="auto"/>
        <w:ind w:firstLine="480" w:firstLineChars="200"/>
        <w:rPr>
          <w:sz w:val="24"/>
        </w:rPr>
      </w:pPr>
      <w:r>
        <w:rPr>
          <w:sz w:val="24"/>
        </w:rPr>
        <w:t>按公式（1）和公式（2）计算沥青延度试验仪的温度上偏差和温度下偏差：</w:t>
      </w:r>
    </w:p>
    <w:p>
      <w:pPr>
        <w:tabs>
          <w:tab w:val="left" w:pos="1620"/>
          <w:tab w:val="left" w:pos="8460"/>
        </w:tabs>
        <w:spacing w:line="360" w:lineRule="auto"/>
        <w:ind w:firstLine="480" w:firstLineChars="200"/>
        <w:jc w:val="right"/>
        <w:rPr>
          <w:sz w:val="24"/>
        </w:rPr>
      </w:pPr>
      <m:oMath>
        <m:sSub>
          <m:sSubPr>
            <m:ctrlPr>
              <w:rPr>
                <w:rFonts w:ascii="Cambria Math" w:hAnsi="Cambria Math"/>
                <w:i/>
                <w:sz w:val="24"/>
              </w:rPr>
            </m:ctrlPr>
          </m:sSubPr>
          <m:e>
            <m:r>
              <m:rPr/>
              <w:rPr>
                <w:rFonts w:ascii="Cambria Math" w:hAnsi="Cambria Math"/>
                <w:sz w:val="24"/>
              </w:rPr>
              <m:t xml:space="preserve"> ∆t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r>
          <m:rPr/>
          <w:rPr>
            <w:rFonts w:ascii="Cambria Math" w:hAnsi="Cambria Math"/>
            <w:sz w:val="24"/>
          </w:rPr>
          <m:t>=</m:t>
        </m:r>
        <m:sSub>
          <m:sSubPr>
            <m:ctrlPr>
              <w:rPr>
                <w:rFonts w:ascii="Cambria Math" w:hAnsi="Cambria Math"/>
                <w:iCs/>
                <w:sz w:val="24"/>
              </w:rPr>
            </m:ctrlPr>
          </m:sSubPr>
          <m:e>
            <m:r>
              <m:rPr/>
              <w:rPr>
                <w:rFonts w:ascii="Cambria Math" w:hAnsi="Cambria Math"/>
                <w:sz w:val="24"/>
              </w:rPr>
              <m:t>t</m:t>
            </m:r>
            <m:ctrlPr>
              <w:rPr>
                <w:rFonts w:ascii="Cambria Math" w:hAnsi="Cambria Math"/>
                <w:iCs/>
                <w:sz w:val="24"/>
              </w:rPr>
            </m:ctrlPr>
          </m:e>
          <m:sub>
            <m:r>
              <m:rPr>
                <m:sty m:val="p"/>
              </m:rPr>
              <w:rPr>
                <w:rFonts w:ascii="Cambria Math" w:hAnsi="Cambria Math"/>
                <w:sz w:val="24"/>
              </w:rPr>
              <m:t>max</m:t>
            </m:r>
            <m:ctrlPr>
              <w:rPr>
                <w:rFonts w:ascii="Cambria Math" w:hAnsi="Cambria Math"/>
                <w:iCs/>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s</m:t>
            </m:r>
            <m:ctrlPr>
              <w:rPr>
                <w:rFonts w:ascii="Cambria Math" w:hAnsi="Cambria Math"/>
                <w:i/>
                <w:sz w:val="24"/>
              </w:rPr>
            </m:ctrlPr>
          </m:sub>
        </m:sSub>
      </m:oMath>
      <w:r>
        <w:rPr>
          <w:i/>
          <w:sz w:val="24"/>
        </w:rPr>
        <w:t xml:space="preserve">                           </w:t>
      </w:r>
      <w:r>
        <w:rPr>
          <w:sz w:val="24"/>
        </w:rPr>
        <w:t xml:space="preserve">   （1）</w:t>
      </w:r>
    </w:p>
    <w:p>
      <w:pPr>
        <w:tabs>
          <w:tab w:val="left" w:pos="1620"/>
          <w:tab w:val="left" w:pos="8460"/>
        </w:tabs>
        <w:spacing w:line="360" w:lineRule="auto"/>
        <w:ind w:firstLine="480" w:firstLineChars="200"/>
        <w:jc w:val="right"/>
        <w:rPr>
          <w:i/>
          <w:sz w:val="24"/>
        </w:rPr>
      </w:pPr>
      <w:r>
        <w:rPr>
          <w:i/>
          <w:sz w:val="24"/>
        </w:rPr>
        <w:t xml:space="preserve"> </w:t>
      </w:r>
      <m:oMath>
        <m:sSub>
          <m:sSubPr>
            <m:ctrlPr>
              <w:rPr>
                <w:rFonts w:ascii="Cambria Math" w:hAnsi="Cambria Math"/>
                <w:i/>
                <w:sz w:val="24"/>
              </w:rPr>
            </m:ctrlPr>
          </m:sSubPr>
          <m:e>
            <m:r>
              <m:rPr/>
              <w:rPr>
                <w:rFonts w:ascii="Cambria Math" w:hAnsi="Cambria Math"/>
                <w:sz w:val="24"/>
              </w:rPr>
              <m:t xml:space="preserve"> ∆t</m:t>
            </m:r>
            <m:ctrlPr>
              <w:rPr>
                <w:rFonts w:ascii="Cambria Math" w:hAnsi="Cambria Math"/>
                <w:i/>
                <w:sz w:val="24"/>
              </w:rPr>
            </m:ctrlPr>
          </m:e>
          <m:sub>
            <m:r>
              <m:rPr>
                <m:sty m:val="p"/>
              </m:rPr>
              <w:rPr>
                <w:rFonts w:ascii="Cambria Math" w:hAnsi="Cambria Math"/>
                <w:sz w:val="24"/>
              </w:rPr>
              <m:t>min</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min</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s</m:t>
            </m:r>
            <m:ctrlPr>
              <w:rPr>
                <w:rFonts w:ascii="Cambria Math" w:hAnsi="Cambria Math"/>
                <w:i/>
                <w:sz w:val="24"/>
              </w:rPr>
            </m:ctrlPr>
          </m:sub>
        </m:sSub>
      </m:oMath>
      <w:r>
        <w:rPr>
          <w:i/>
          <w:sz w:val="24"/>
        </w:rPr>
        <w:t xml:space="preserve">                               </w:t>
      </w:r>
      <w:r>
        <w:rPr>
          <w:sz w:val="24"/>
        </w:rPr>
        <w:t>（2）</w:t>
      </w:r>
    </w:p>
    <w:p>
      <w:pPr>
        <w:autoSpaceDE w:val="0"/>
        <w:autoSpaceDN w:val="0"/>
        <w:spacing w:before="120" w:line="360" w:lineRule="auto"/>
        <w:ind w:firstLine="480" w:firstLineChars="200"/>
        <w:rPr>
          <w:sz w:val="24"/>
        </w:rPr>
      </w:pPr>
      <w:r>
        <w:rPr>
          <w:sz w:val="24"/>
        </w:rPr>
        <w:t>式中：</w:t>
      </w:r>
    </w:p>
    <w:p>
      <w:pPr>
        <w:autoSpaceDE w:val="0"/>
        <w:autoSpaceDN w:val="0"/>
        <w:spacing w:before="140" w:line="360" w:lineRule="auto"/>
        <w:ind w:firstLine="480" w:firstLineChars="200"/>
        <w:rPr>
          <w:sz w:val="24"/>
        </w:rPr>
      </w:pPr>
      <m:oMath>
        <m:sSub>
          <m:sSubPr>
            <m:ctrlPr>
              <w:rPr>
                <w:rFonts w:ascii="Cambria Math" w:hAnsi="Cambria Math"/>
                <w:i/>
                <w:sz w:val="24"/>
              </w:rPr>
            </m:ctrlPr>
          </m:sSubPr>
          <m:e>
            <m:r>
              <m:rPr/>
              <w:rPr>
                <w:rFonts w:ascii="Cambria Math" w:hAnsi="Cambria Math"/>
                <w:sz w:val="24"/>
              </w:rPr>
              <m:t xml:space="preserve"> ∆t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oMath>
      <w:r>
        <w:rPr>
          <w:sz w:val="24"/>
        </w:rPr>
        <w:t>——沥青延度试验仪水槽温度上偏差，℃；</w:t>
      </w:r>
    </w:p>
    <w:p>
      <w:pPr>
        <w:autoSpaceDE w:val="0"/>
        <w:autoSpaceDN w:val="0"/>
        <w:spacing w:before="140" w:line="360" w:lineRule="auto"/>
        <w:ind w:firstLine="480" w:firstLineChars="200"/>
        <w:rPr>
          <w:sz w:val="24"/>
        </w:rPr>
      </w:pPr>
      <m:oMath>
        <m:sSub>
          <m:sSubPr>
            <m:ctrlPr>
              <w:rPr>
                <w:rFonts w:ascii="Cambria Math" w:hAnsi="Cambria Math"/>
                <w:i/>
                <w:sz w:val="24"/>
              </w:rPr>
            </m:ctrlPr>
          </m:sSubPr>
          <m:e>
            <m:r>
              <m:rPr/>
              <w:rPr>
                <w:rFonts w:ascii="Cambria Math" w:hAnsi="Cambria Math"/>
                <w:sz w:val="24"/>
              </w:rPr>
              <m:t xml:space="preserve"> ∆t</m:t>
            </m:r>
            <m:ctrlPr>
              <w:rPr>
                <w:rFonts w:ascii="Cambria Math" w:hAnsi="Cambria Math"/>
                <w:i/>
                <w:sz w:val="24"/>
              </w:rPr>
            </m:ctrlPr>
          </m:e>
          <m:sub>
            <m:r>
              <m:rPr>
                <m:sty m:val="p"/>
              </m:rPr>
              <w:rPr>
                <w:rFonts w:ascii="Cambria Math" w:hAnsi="Cambria Math"/>
                <w:sz w:val="24"/>
              </w:rPr>
              <m:t>min</m:t>
            </m:r>
            <m:ctrlPr>
              <w:rPr>
                <w:rFonts w:ascii="Cambria Math" w:hAnsi="Cambria Math"/>
                <w:i/>
                <w:sz w:val="24"/>
              </w:rPr>
            </m:ctrlPr>
          </m:sub>
        </m:sSub>
      </m:oMath>
      <w:r>
        <w:rPr>
          <w:sz w:val="24"/>
        </w:rPr>
        <w:t>——沥青延度试验仪水槽温度下偏差，℃；</w:t>
      </w:r>
    </w:p>
    <w:p>
      <w:pPr>
        <w:autoSpaceDE w:val="0"/>
        <w:autoSpaceDN w:val="0"/>
        <w:spacing w:before="140" w:line="360" w:lineRule="auto"/>
        <w:ind w:firstLine="480" w:firstLineChars="200"/>
        <w:rPr>
          <w:sz w:val="24"/>
        </w:rPr>
      </w:pPr>
      <m:oMath>
        <m:sSub>
          <m:sSubPr>
            <m:ctrlPr>
              <w:rPr>
                <w:rFonts w:ascii="Cambria Math" w:hAnsi="Cambria Math"/>
                <w:i/>
                <w:sz w:val="24"/>
              </w:rPr>
            </m:ctrlPr>
          </m:sSubPr>
          <m:e>
            <m:r>
              <m:rPr/>
              <w:rPr>
                <w:rFonts w:ascii="Cambria Math" w:hAnsi="Cambria Math"/>
                <w:sz w:val="24"/>
              </w:rPr>
              <m:t xml:space="preserve"> 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oMath>
      <w:r>
        <w:rPr>
          <w:sz w:val="24"/>
        </w:rPr>
        <w:t>——修正后各测量点在规定时间内测得的最高温度，℃；</w:t>
      </w:r>
    </w:p>
    <w:p>
      <w:pPr>
        <w:autoSpaceDE w:val="0"/>
        <w:autoSpaceDN w:val="0"/>
        <w:spacing w:before="120" w:line="360" w:lineRule="auto"/>
        <w:ind w:firstLine="480" w:firstLineChars="200"/>
        <w:rPr>
          <w:sz w:val="24"/>
        </w:rPr>
      </w:pPr>
      <m:oMath>
        <m:sSub>
          <m:sSubPr>
            <m:ctrlPr>
              <w:rPr>
                <w:rFonts w:ascii="Cambria Math" w:hAnsi="Cambria Math"/>
                <w:i/>
                <w:sz w:val="24"/>
              </w:rPr>
            </m:ctrlPr>
          </m:sSubPr>
          <m:e>
            <m:r>
              <m:rPr/>
              <w:rPr>
                <w:rFonts w:ascii="Cambria Math" w:hAnsi="Cambria Math"/>
                <w:sz w:val="24"/>
              </w:rPr>
              <m:t xml:space="preserve"> t</m:t>
            </m:r>
            <m:ctrlPr>
              <w:rPr>
                <w:rFonts w:ascii="Cambria Math" w:hAnsi="Cambria Math"/>
                <w:i/>
                <w:sz w:val="24"/>
              </w:rPr>
            </m:ctrlPr>
          </m:e>
          <m:sub>
            <m:r>
              <m:rPr>
                <m:sty m:val="p"/>
              </m:rPr>
              <w:rPr>
                <w:rFonts w:ascii="Cambria Math" w:hAnsi="Cambria Math"/>
                <w:sz w:val="24"/>
              </w:rPr>
              <m:t>min</m:t>
            </m:r>
            <m:ctrlPr>
              <w:rPr>
                <w:rFonts w:ascii="Cambria Math" w:hAnsi="Cambria Math"/>
                <w:i/>
                <w:sz w:val="24"/>
              </w:rPr>
            </m:ctrlPr>
          </m:sub>
        </m:sSub>
      </m:oMath>
      <w:r>
        <w:rPr>
          <w:sz w:val="24"/>
        </w:rPr>
        <w:t>——修正后各测量点在规定时间内测得的最低温度，℃；</w:t>
      </w:r>
    </w:p>
    <w:p>
      <w:pPr>
        <w:autoSpaceDE w:val="0"/>
        <w:autoSpaceDN w:val="0"/>
        <w:spacing w:before="120" w:line="360" w:lineRule="auto"/>
        <w:ind w:firstLine="480" w:firstLineChars="200"/>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s</m:t>
            </m:r>
            <m:ctrlPr>
              <w:rPr>
                <w:rFonts w:ascii="Cambria Math" w:hAnsi="Cambria Math"/>
                <w:i/>
                <w:sz w:val="24"/>
              </w:rPr>
            </m:ctrlPr>
          </m:sub>
        </m:sSub>
      </m:oMath>
      <w:r>
        <w:rPr>
          <w:sz w:val="24"/>
        </w:rPr>
        <w:t>——沥青延度试验仪水槽设定温度，℃。</w:t>
      </w:r>
    </w:p>
    <w:p>
      <w:pPr>
        <w:spacing w:line="360" w:lineRule="auto"/>
        <w:rPr>
          <w:sz w:val="24"/>
        </w:rPr>
      </w:pPr>
      <w:r>
        <w:rPr>
          <w:sz w:val="24"/>
        </w:rPr>
        <w:t>7.2.2温度均匀度数据处理</w:t>
      </w:r>
    </w:p>
    <w:p>
      <w:pPr>
        <w:autoSpaceDE w:val="0"/>
        <w:autoSpaceDN w:val="0"/>
        <w:spacing w:before="120" w:line="360" w:lineRule="auto"/>
        <w:ind w:firstLine="480" w:firstLineChars="200"/>
        <w:rPr>
          <w:sz w:val="24"/>
        </w:rPr>
      </w:pPr>
      <w:r>
        <w:rPr>
          <w:sz w:val="24"/>
        </w:rPr>
        <w:t>按公式（3）计算沥青延度试验仪的温度均匀度：</w:t>
      </w:r>
    </w:p>
    <w:p>
      <w:pPr>
        <w:autoSpaceDE w:val="0"/>
        <w:autoSpaceDN w:val="0"/>
        <w:spacing w:before="20" w:line="360" w:lineRule="auto"/>
        <w:jc w:val="right"/>
        <w:rPr>
          <w:sz w:val="24"/>
        </w:rPr>
      </w:pPr>
      <w:r>
        <w:rPr>
          <w:sz w:val="24"/>
        </w:rPr>
        <w:t xml:space="preserve">       </w:t>
      </w:r>
      <m:oMath>
        <m:r>
          <m:rPr/>
          <w:rPr>
            <w:rFonts w:ascii="Cambria Math" w:hAnsi="Cambria Math"/>
            <w:sz w:val="24"/>
          </w:rPr>
          <m:t>Δ</m:t>
        </m:r>
        <m:sSub>
          <m:sSubPr>
            <m:ctrlPr>
              <w:rPr>
                <w:rFonts w:ascii="Cambria Math" w:hAnsi="Cambria Math"/>
                <w:sz w:val="24"/>
              </w:rPr>
            </m:ctrlPr>
          </m:sSubPr>
          <m:e>
            <m:r>
              <m:rPr/>
              <w:rPr>
                <w:rFonts w:ascii="Cambria Math" w:hAnsi="Cambria Math"/>
                <w:sz w:val="24"/>
              </w:rPr>
              <m:t>t</m:t>
            </m:r>
            <m:ctrlPr>
              <w:rPr>
                <w:rFonts w:ascii="Cambria Math" w:hAnsi="Cambria Math"/>
                <w:sz w:val="24"/>
              </w:rPr>
            </m:ctrlPr>
          </m:e>
          <m:sub>
            <m:r>
              <m:rPr>
                <m:sty m:val="p"/>
              </m:rPr>
              <w:rPr>
                <w:rFonts w:ascii="Cambria Math" w:hAnsi="Cambria Math"/>
                <w:sz w:val="24"/>
              </w:rPr>
              <m:t>u</m:t>
            </m:r>
            <m:ctrlPr>
              <w:rPr>
                <w:rFonts w:ascii="Cambria Math" w:hAnsi="Cambria Math"/>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1</m:t>
            </m:r>
            <m:ctrlPr>
              <w:rPr>
                <w:rFonts w:ascii="Cambria Math" w:hAnsi="Cambria Math"/>
                <w:i/>
                <w:sz w:val="24"/>
              </w:rPr>
            </m:ctrlPr>
          </m:num>
          <m:den>
            <m:r>
              <m:rPr/>
              <w:rPr>
                <w:rFonts w:ascii="Cambria Math" w:hAnsi="Cambria Math"/>
                <w:sz w:val="24"/>
              </w:rPr>
              <m:t>n</m:t>
            </m:r>
            <m:ctrlPr>
              <w:rPr>
                <w:rFonts w:ascii="Cambria Math" w:hAnsi="Cambria Math"/>
                <w:i/>
                <w:sz w:val="24"/>
              </w:rPr>
            </m:ctrlPr>
          </m:den>
        </m:f>
        <m:nary>
          <m:naryPr>
            <m:chr m:val="∑"/>
            <m:limLoc m:val="undOvr"/>
            <m:ctrlPr>
              <w:rPr>
                <w:rFonts w:ascii="Cambria Math" w:hAnsi="Cambria Math"/>
                <w:i/>
                <w:sz w:val="24"/>
              </w:rPr>
            </m:ctrlPr>
          </m:naryPr>
          <m:sub>
            <m:r>
              <m:rPr/>
              <w:rPr>
                <w:rFonts w:ascii="Cambria Math" w:hAnsi="Cambria Math"/>
                <w:sz w:val="24"/>
              </w:rPr>
              <m:t>i=1</m:t>
            </m:r>
            <m:ctrlPr>
              <w:rPr>
                <w:rFonts w:ascii="Cambria Math" w:hAnsi="Cambria Math"/>
                <w:i/>
                <w:sz w:val="24"/>
              </w:rPr>
            </m:ctrlPr>
          </m:sub>
          <m:sup>
            <m:r>
              <m:rPr/>
              <w:rPr>
                <w:rFonts w:ascii="Cambria Math" w:hAnsi="Cambria Math"/>
                <w:sz w:val="24"/>
              </w:rPr>
              <m:t>n</m:t>
            </m:r>
            <m:ctrlPr>
              <w:rPr>
                <w:rFonts w:ascii="Cambria Math" w:hAnsi="Cambria Math"/>
                <w:i/>
                <w:sz w:val="24"/>
              </w:rPr>
            </m:ctrlPr>
          </m:sup>
          <m:e>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i</m:t>
                    </m:r>
                    <m:r>
                      <m:rPr>
                        <m:sty m:val="p"/>
                      </m:rPr>
                      <w:rPr>
                        <w:rFonts w:ascii="Cambria Math" w:hAnsi="Cambria Math"/>
                        <w:sz w:val="24"/>
                      </w:rPr>
                      <m:t>max</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i</m:t>
                    </m:r>
                    <m:r>
                      <m:rPr>
                        <m:sty m:val="p"/>
                      </m:rPr>
                      <w:rPr>
                        <w:rFonts w:ascii="Cambria Math" w:hAnsi="Cambria Math"/>
                        <w:sz w:val="24"/>
                      </w:rPr>
                      <m:t>min</m:t>
                    </m:r>
                    <m:ctrlPr>
                      <w:rPr>
                        <w:rFonts w:ascii="Cambria Math" w:hAnsi="Cambria Math"/>
                        <w:i/>
                        <w:sz w:val="24"/>
                      </w:rPr>
                    </m:ctrlPr>
                  </m:sub>
                </m:sSub>
                <m:ctrlPr>
                  <w:rPr>
                    <w:rFonts w:ascii="Cambria Math" w:hAnsi="Cambria Math"/>
                    <w:i/>
                    <w:sz w:val="24"/>
                  </w:rPr>
                </m:ctrlPr>
              </m:e>
            </m:d>
            <m:ctrlPr>
              <w:rPr>
                <w:rFonts w:ascii="Cambria Math" w:hAnsi="Cambria Math"/>
                <w:i/>
                <w:sz w:val="24"/>
              </w:rPr>
            </m:ctrlPr>
          </m:e>
        </m:nary>
      </m:oMath>
      <w:r>
        <w:rPr>
          <w:sz w:val="24"/>
        </w:rPr>
        <w:t xml:space="preserve">                     （3）</w:t>
      </w:r>
    </w:p>
    <w:p>
      <w:pPr>
        <w:autoSpaceDE w:val="0"/>
        <w:autoSpaceDN w:val="0"/>
        <w:spacing w:before="120" w:line="360" w:lineRule="auto"/>
        <w:ind w:left="660"/>
        <w:rPr>
          <w:sz w:val="24"/>
        </w:rPr>
      </w:pPr>
      <w:r>
        <w:rPr>
          <w:sz w:val="24"/>
        </w:rPr>
        <w:t>式中：</w:t>
      </w:r>
    </w:p>
    <w:p>
      <w:pPr>
        <w:autoSpaceDE w:val="0"/>
        <w:autoSpaceDN w:val="0"/>
        <w:spacing w:before="140" w:line="360" w:lineRule="auto"/>
        <w:rPr>
          <w:sz w:val="24"/>
        </w:rPr>
      </w:pPr>
      <m:oMath>
        <m:r>
          <m:rPr/>
          <w:rPr>
            <w:rFonts w:ascii="Cambria Math" w:hAnsi="Cambria Math"/>
            <w:sz w:val="24"/>
          </w:rPr>
          <m:t xml:space="preserve">           Δ</m:t>
        </m:r>
        <m:sSub>
          <m:sSubPr>
            <m:ctrlPr>
              <w:rPr>
                <w:rFonts w:ascii="Cambria Math" w:hAnsi="Cambria Math"/>
                <w:sz w:val="24"/>
              </w:rPr>
            </m:ctrlPr>
          </m:sSubPr>
          <m:e>
            <m:r>
              <m:rPr/>
              <w:rPr>
                <w:rFonts w:ascii="Cambria Math" w:hAnsi="Cambria Math"/>
                <w:sz w:val="24"/>
              </w:rPr>
              <m:t>t</m:t>
            </m:r>
            <m:ctrlPr>
              <w:rPr>
                <w:rFonts w:ascii="Cambria Math" w:hAnsi="Cambria Math"/>
                <w:sz w:val="24"/>
              </w:rPr>
            </m:ctrlPr>
          </m:e>
          <m:sub>
            <m:r>
              <m:rPr>
                <m:sty m:val="p"/>
              </m:rPr>
              <w:rPr>
                <w:rFonts w:ascii="Cambria Math" w:hAnsi="Cambria Math"/>
                <w:sz w:val="24"/>
              </w:rPr>
              <m:t>u</m:t>
            </m:r>
            <m:ctrlPr>
              <w:rPr>
                <w:rFonts w:ascii="Cambria Math" w:hAnsi="Cambria Math"/>
                <w:sz w:val="24"/>
              </w:rPr>
            </m:ctrlPr>
          </m:sub>
        </m:sSub>
      </m:oMath>
      <w:r>
        <w:rPr>
          <w:sz w:val="24"/>
        </w:rPr>
        <w:t>——沥青延度试验仪温度均匀度，℃；</w:t>
      </w:r>
    </w:p>
    <w:p>
      <w:pPr>
        <w:autoSpaceDE w:val="0"/>
        <w:autoSpaceDN w:val="0"/>
        <w:spacing w:before="140" w:line="360" w:lineRule="auto"/>
        <w:ind w:left="580"/>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i</m:t>
            </m:r>
            <m:r>
              <m:rPr>
                <m:sty m:val="p"/>
              </m:rPr>
              <w:rPr>
                <w:rFonts w:ascii="Cambria Math" w:hAnsi="Cambria Math"/>
                <w:sz w:val="24"/>
              </w:rPr>
              <m:t>max</m:t>
            </m:r>
            <m:ctrlPr>
              <w:rPr>
                <w:rFonts w:ascii="Cambria Math" w:hAnsi="Cambria Math"/>
                <w:i/>
                <w:sz w:val="24"/>
              </w:rPr>
            </m:ctrlPr>
          </m:sub>
        </m:sSub>
      </m:oMath>
      <w:r>
        <w:rPr>
          <w:sz w:val="24"/>
        </w:rPr>
        <w:t>——修正后各测量点在第</w:t>
      </w:r>
      <w:r>
        <w:rPr>
          <w:i/>
          <w:iCs/>
          <w:sz w:val="24"/>
        </w:rPr>
        <w:t>i</w:t>
      </w:r>
      <w:r>
        <w:rPr>
          <w:sz w:val="24"/>
        </w:rPr>
        <w:t>次测量时测得的最高温度，℃；</w:t>
      </w:r>
    </w:p>
    <w:p>
      <w:pPr>
        <w:autoSpaceDE w:val="0"/>
        <w:autoSpaceDN w:val="0"/>
        <w:spacing w:before="140" w:line="360" w:lineRule="auto"/>
        <w:ind w:left="600"/>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i</m:t>
            </m:r>
            <m:r>
              <m:rPr>
                <m:sty m:val="p"/>
              </m:rPr>
              <w:rPr>
                <w:rFonts w:ascii="Cambria Math" w:hAnsi="Cambria Math"/>
                <w:sz w:val="24"/>
              </w:rPr>
              <m:t>min</m:t>
            </m:r>
            <m:ctrlPr>
              <w:rPr>
                <w:rFonts w:ascii="Cambria Math" w:hAnsi="Cambria Math"/>
                <w:i/>
                <w:sz w:val="24"/>
              </w:rPr>
            </m:ctrlPr>
          </m:sub>
        </m:sSub>
      </m:oMath>
      <w:r>
        <w:rPr>
          <w:sz w:val="24"/>
        </w:rPr>
        <w:t>——修正后各测量点</w:t>
      </w:r>
      <w:r>
        <w:rPr>
          <w:i/>
          <w:iCs/>
          <w:sz w:val="24"/>
        </w:rPr>
        <w:t>j</w:t>
      </w:r>
      <w:r>
        <w:rPr>
          <w:sz w:val="24"/>
        </w:rPr>
        <w:t>在第</w:t>
      </w:r>
      <w:r>
        <w:rPr>
          <w:i/>
          <w:iCs/>
          <w:sz w:val="24"/>
        </w:rPr>
        <w:t>i</w:t>
      </w:r>
      <w:r>
        <w:rPr>
          <w:sz w:val="24"/>
        </w:rPr>
        <w:t>次测量时测得的最低温度，℃；</w:t>
      </w:r>
    </w:p>
    <w:p>
      <w:pPr>
        <w:spacing w:line="360" w:lineRule="auto"/>
        <w:rPr>
          <w:sz w:val="24"/>
        </w:rPr>
      </w:pPr>
      <m:oMath>
        <m:r>
          <m:rPr/>
          <w:rPr>
            <w:rFonts w:ascii="Cambria Math" w:hAnsi="Cambria Math"/>
            <w:sz w:val="24"/>
          </w:rPr>
          <m:t xml:space="preserve">           n</m:t>
        </m:r>
      </m:oMath>
      <w:r>
        <w:rPr>
          <w:sz w:val="24"/>
        </w:rPr>
        <w:t>——测量次数。</w:t>
      </w:r>
    </w:p>
    <w:p>
      <w:pPr>
        <w:spacing w:line="360" w:lineRule="auto"/>
        <w:rPr>
          <w:sz w:val="24"/>
        </w:rPr>
      </w:pPr>
      <w:r>
        <w:rPr>
          <w:sz w:val="24"/>
        </w:rPr>
        <w:t>7.2.3 温度波动度数据处理</w:t>
      </w:r>
    </w:p>
    <w:p>
      <w:pPr>
        <w:autoSpaceDE w:val="0"/>
        <w:autoSpaceDN w:val="0"/>
        <w:spacing w:before="140" w:line="360" w:lineRule="auto"/>
        <w:ind w:left="600"/>
        <w:rPr>
          <w:sz w:val="24"/>
        </w:rPr>
      </w:pPr>
      <w:r>
        <w:rPr>
          <w:sz w:val="24"/>
        </w:rPr>
        <w:t>按公式（4）计算沥青延度试验仪的温度波动度：</w:t>
      </w:r>
    </w:p>
    <w:p>
      <w:pPr>
        <w:autoSpaceDE w:val="0"/>
        <w:autoSpaceDN w:val="0"/>
        <w:spacing w:before="140" w:line="360" w:lineRule="auto"/>
        <w:ind w:firstLine="2160" w:firstLineChars="900"/>
        <w:jc w:val="right"/>
        <w:rPr>
          <w:sz w:val="24"/>
        </w:rPr>
      </w:pPr>
      <w:r>
        <w:rPr>
          <w:sz w:val="24"/>
        </w:rPr>
        <w:t xml:space="preserve"> </w:t>
      </w:r>
      <m:oMath>
        <m:r>
          <m:rPr/>
          <w:rPr>
            <w:rFonts w:ascii="Cambria Math" w:hAnsi="Cambria Math"/>
            <w:sz w:val="24"/>
          </w:rPr>
          <m:t>Δ</m:t>
        </m:r>
        <m:sSub>
          <m:sSubPr>
            <m:ctrlPr>
              <w:rPr>
                <w:rFonts w:ascii="Cambria Math" w:hAnsi="Cambria Math"/>
                <w:sz w:val="24"/>
              </w:rPr>
            </m:ctrlPr>
          </m:sSubPr>
          <m:e>
            <m:r>
              <m:rPr/>
              <w:rPr>
                <w:rFonts w:ascii="Cambria Math" w:hAnsi="Cambria Math"/>
                <w:sz w:val="24"/>
              </w:rPr>
              <m:t>t</m:t>
            </m:r>
            <m:ctrlPr>
              <w:rPr>
                <w:rFonts w:ascii="Cambria Math" w:hAnsi="Cambria Math"/>
                <w:sz w:val="24"/>
              </w:rPr>
            </m:ctrlPr>
          </m:e>
          <m:sub>
            <m:r>
              <m:rPr>
                <m:sty m:val="p"/>
              </m:rPr>
              <w:rPr>
                <w:rFonts w:ascii="Cambria Math" w:hAnsi="Cambria Math"/>
                <w:sz w:val="24"/>
              </w:rPr>
              <m:t>f</m:t>
            </m:r>
            <m:ctrlPr>
              <w:rPr>
                <w:rFonts w:ascii="Cambria Math" w:hAnsi="Cambria Math"/>
                <w:sz w:val="24"/>
              </w:rPr>
            </m:ctrlPr>
          </m:sub>
        </m:sSub>
        <m:r>
          <m:rPr/>
          <w:rPr>
            <w:rFonts w:ascii="Cambria Math" w:hAnsi="Cambria Math"/>
            <w:sz w:val="24"/>
          </w:rPr>
          <m:t>=</m:t>
        </m:r>
        <m:func>
          <m:funcPr>
            <m:ctrlPr>
              <w:rPr>
                <w:rFonts w:ascii="Cambria Math" w:hAnsi="Cambria Math"/>
                <w:sz w:val="24"/>
              </w:rPr>
            </m:ctrlPr>
          </m:funcPr>
          <m:fName>
            <m:r>
              <m:rPr>
                <m:sty m:val="p"/>
              </m:rPr>
              <w:rPr>
                <w:rFonts w:ascii="Cambria Math" w:hAnsi="Cambria Math"/>
                <w:sz w:val="24"/>
              </w:rPr>
              <m:t>max</m:t>
            </m:r>
            <m:ctrlPr>
              <w:rPr>
                <w:rFonts w:ascii="Cambria Math" w:hAnsi="Cambria Math"/>
                <w:i/>
                <w:sz w:val="24"/>
              </w:rPr>
            </m:ctrlPr>
          </m:fName>
          <m:e>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j</m:t>
                    </m:r>
                    <m:r>
                      <m:rPr>
                        <m:sty m:val="p"/>
                      </m:rPr>
                      <w:rPr>
                        <w:rFonts w:ascii="Cambria Math" w:hAnsi="Cambria Math"/>
                        <w:sz w:val="24"/>
                      </w:rPr>
                      <m:t>max</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j</m:t>
                    </m:r>
                    <m:r>
                      <m:rPr>
                        <m:sty m:val="p"/>
                      </m:rPr>
                      <w:rPr>
                        <w:rFonts w:ascii="Cambria Math" w:hAnsi="Cambria Math"/>
                        <w:sz w:val="24"/>
                      </w:rPr>
                      <m:t>min</m:t>
                    </m:r>
                    <m:ctrlPr>
                      <w:rPr>
                        <w:rFonts w:ascii="Cambria Math" w:hAnsi="Cambria Math"/>
                        <w:i/>
                        <w:sz w:val="24"/>
                      </w:rPr>
                    </m:ctrlPr>
                  </m:sub>
                </m:sSub>
                <m:ctrlPr>
                  <w:rPr>
                    <w:rFonts w:ascii="Cambria Math" w:hAnsi="Cambria Math"/>
                    <w:i/>
                    <w:sz w:val="24"/>
                  </w:rPr>
                </m:ctrlPr>
              </m:e>
            </m:d>
            <m:ctrlPr>
              <w:rPr>
                <w:rFonts w:ascii="Cambria Math" w:hAnsi="Cambria Math"/>
                <w:sz w:val="24"/>
              </w:rPr>
            </m:ctrlPr>
          </m:e>
        </m:func>
      </m:oMath>
      <w:r>
        <w:rPr>
          <w:sz w:val="24"/>
        </w:rPr>
        <w:t xml:space="preserve">                   （4）</w:t>
      </w:r>
    </w:p>
    <w:p>
      <w:pPr>
        <w:autoSpaceDE w:val="0"/>
        <w:autoSpaceDN w:val="0"/>
        <w:spacing w:before="140" w:line="360" w:lineRule="auto"/>
        <w:ind w:left="600"/>
        <w:rPr>
          <w:sz w:val="24"/>
        </w:rPr>
      </w:pPr>
      <w:r>
        <w:rPr>
          <w:sz w:val="24"/>
        </w:rPr>
        <w:t>式中：</w:t>
      </w:r>
    </w:p>
    <w:p>
      <w:pPr>
        <w:autoSpaceDE w:val="0"/>
        <w:autoSpaceDN w:val="0"/>
        <w:spacing w:before="140" w:line="360" w:lineRule="auto"/>
        <w:ind w:left="600"/>
        <w:rPr>
          <w:sz w:val="24"/>
        </w:rPr>
      </w:pPr>
      <m:oMath>
        <m:r>
          <m:rPr/>
          <w:rPr>
            <w:rFonts w:ascii="Cambria Math" w:hAnsi="Cambria Math"/>
            <w:sz w:val="24"/>
          </w:rPr>
          <m:t>Δ</m:t>
        </m:r>
        <m:sSub>
          <m:sSubPr>
            <m:ctrlPr>
              <w:rPr>
                <w:rFonts w:ascii="Cambria Math" w:hAnsi="Cambria Math"/>
                <w:sz w:val="24"/>
              </w:rPr>
            </m:ctrlPr>
          </m:sSubPr>
          <m:e>
            <m:r>
              <m:rPr/>
              <w:rPr>
                <w:rFonts w:ascii="Cambria Math" w:hAnsi="Cambria Math"/>
                <w:sz w:val="24"/>
              </w:rPr>
              <m:t>t</m:t>
            </m:r>
            <m:ctrlPr>
              <w:rPr>
                <w:rFonts w:ascii="Cambria Math" w:hAnsi="Cambria Math"/>
                <w:sz w:val="24"/>
              </w:rPr>
            </m:ctrlPr>
          </m:e>
          <m:sub>
            <m:r>
              <m:rPr>
                <m:sty m:val="p"/>
              </m:rPr>
              <w:rPr>
                <w:rFonts w:ascii="Cambria Math" w:hAnsi="Cambria Math"/>
                <w:sz w:val="24"/>
              </w:rPr>
              <m:t>f</m:t>
            </m:r>
            <m:ctrlPr>
              <w:rPr>
                <w:rFonts w:ascii="Cambria Math" w:hAnsi="Cambria Math"/>
                <w:sz w:val="24"/>
              </w:rPr>
            </m:ctrlPr>
          </m:sub>
        </m:sSub>
      </m:oMath>
      <w:r>
        <w:rPr>
          <w:sz w:val="24"/>
        </w:rPr>
        <w:t>——沥青延度试验仪温度波动度，℃；</w:t>
      </w:r>
    </w:p>
    <w:p>
      <w:pPr>
        <w:autoSpaceDE w:val="0"/>
        <w:autoSpaceDN w:val="0"/>
        <w:spacing w:before="140" w:line="360" w:lineRule="auto"/>
        <w:ind w:left="600"/>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j</m:t>
            </m:r>
            <m:r>
              <m:rPr>
                <m:sty m:val="p"/>
              </m:rPr>
              <w:rPr>
                <w:rFonts w:ascii="Cambria Math" w:hAnsi="Cambria Math"/>
                <w:sz w:val="24"/>
              </w:rPr>
              <m:t>max</m:t>
            </m:r>
            <m:ctrlPr>
              <w:rPr>
                <w:rFonts w:ascii="Cambria Math" w:hAnsi="Cambria Math"/>
                <w:i/>
                <w:sz w:val="24"/>
              </w:rPr>
            </m:ctrlPr>
          </m:sub>
        </m:sSub>
      </m:oMath>
      <w:r>
        <w:rPr>
          <w:sz w:val="24"/>
        </w:rPr>
        <w:t>——修正后测量点</w:t>
      </w:r>
      <w:r>
        <w:rPr>
          <w:i/>
          <w:iCs/>
          <w:sz w:val="24"/>
        </w:rPr>
        <w:t>j</w:t>
      </w:r>
      <w:r>
        <w:rPr>
          <w:sz w:val="24"/>
        </w:rPr>
        <w:t>在n次测量中测得的最高温度，℃；</w:t>
      </w:r>
    </w:p>
    <w:p>
      <w:pPr>
        <w:autoSpaceDE w:val="0"/>
        <w:autoSpaceDN w:val="0"/>
        <w:spacing w:before="140" w:line="360" w:lineRule="auto"/>
        <w:ind w:left="600"/>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j</m:t>
            </m:r>
            <m:r>
              <m:rPr>
                <m:sty m:val="p"/>
              </m:rPr>
              <w:rPr>
                <w:rFonts w:ascii="Cambria Math" w:hAnsi="Cambria Math"/>
                <w:sz w:val="24"/>
              </w:rPr>
              <m:t>min</m:t>
            </m:r>
            <m:ctrlPr>
              <w:rPr>
                <w:rFonts w:ascii="Cambria Math" w:hAnsi="Cambria Math"/>
                <w:i/>
                <w:sz w:val="24"/>
              </w:rPr>
            </m:ctrlPr>
          </m:sub>
        </m:sSub>
      </m:oMath>
      <w:r>
        <w:rPr>
          <w:sz w:val="24"/>
        </w:rPr>
        <w:t>——修正后测量点</w:t>
      </w:r>
      <w:r>
        <w:rPr>
          <w:i/>
          <w:iCs/>
          <w:sz w:val="24"/>
        </w:rPr>
        <w:t>j</w:t>
      </w:r>
      <w:r>
        <w:rPr>
          <w:sz w:val="24"/>
        </w:rPr>
        <w:t>在n次测量中测得的最低温度，℃。</w:t>
      </w:r>
    </w:p>
    <w:p>
      <w:pPr>
        <w:autoSpaceDE w:val="0"/>
        <w:autoSpaceDN w:val="0"/>
        <w:spacing w:before="140" w:line="360" w:lineRule="auto"/>
        <w:ind w:left="600"/>
        <w:rPr>
          <w:sz w:val="24"/>
        </w:rPr>
      </w:pPr>
    </w:p>
    <w:p>
      <w:pPr>
        <w:pStyle w:val="4"/>
      </w:pPr>
      <w:bookmarkStart w:id="19" w:name="_Toc180395267"/>
      <w:r>
        <w:t>7.3拉伸长度示值误差</w:t>
      </w:r>
      <w:bookmarkEnd w:id="19"/>
    </w:p>
    <w:p>
      <w:pPr>
        <w:snapToGrid w:val="0"/>
        <w:spacing w:line="360" w:lineRule="auto"/>
        <w:ind w:firstLine="480" w:firstLineChars="200"/>
        <w:rPr>
          <w:sz w:val="24"/>
        </w:rPr>
      </w:pPr>
      <w:r>
        <w:rPr>
          <w:sz w:val="24"/>
        </w:rPr>
        <w:t>测量前将拉伸装置指示值调至“0”点，再将钢卷尺“0”位对准拉伸装置示值“0”点，启动拉伸装置使其前进一定距离后停止拉伸，一般沥青拉伸长度为250 mm、1000 mm，也可以根据客户要求的其他长度点进行校准，记录沥青延度试验仪示值和钢卷尺测得的实际拉伸距离，按公式（5）计算拉伸长度示值误差，取测量最大值作为拉伸长度示值误差的测量结果。</w:t>
      </w:r>
    </w:p>
    <w:p>
      <w:pPr>
        <w:tabs>
          <w:tab w:val="left" w:pos="1620"/>
          <w:tab w:val="left" w:pos="8460"/>
        </w:tabs>
        <w:spacing w:line="360" w:lineRule="auto"/>
        <w:ind w:firstLine="480" w:firstLineChars="200"/>
        <w:jc w:val="right"/>
        <w:rPr>
          <w:sz w:val="24"/>
        </w:rPr>
      </w:pPr>
      <w:r>
        <w:rPr>
          <w:sz w:val="24"/>
        </w:rPr>
        <w:t xml:space="preserve">     </w:t>
      </w:r>
      <m:oMath>
        <m:r>
          <m:rPr/>
          <w:rPr>
            <w:rFonts w:ascii="Cambria Math" w:hAnsi="Cambria Math"/>
            <w:sz w:val="24"/>
          </w:rPr>
          <m:t>ΔL=L−</m:t>
        </m:r>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m:sty m:val="p"/>
              </m:rPr>
              <w:rPr>
                <w:rFonts w:ascii="Cambria Math" w:hAnsi="Cambria Math"/>
                <w:sz w:val="24"/>
              </w:rPr>
              <m:t>s</m:t>
            </m:r>
            <m:ctrlPr>
              <w:rPr>
                <w:rFonts w:ascii="Cambria Math" w:hAnsi="Cambria Math"/>
                <w:i/>
                <w:sz w:val="24"/>
              </w:rPr>
            </m:ctrlPr>
          </m:sub>
        </m:sSub>
      </m:oMath>
      <w:r>
        <w:rPr>
          <w:sz w:val="24"/>
        </w:rPr>
        <w:t xml:space="preserve">                              （5）</w:t>
      </w:r>
    </w:p>
    <w:p>
      <w:pPr>
        <w:tabs>
          <w:tab w:val="left" w:pos="1620"/>
          <w:tab w:val="left" w:pos="8460"/>
        </w:tabs>
        <w:spacing w:line="360" w:lineRule="auto"/>
        <w:ind w:firstLine="480" w:firstLineChars="200"/>
        <w:rPr>
          <w:sz w:val="24"/>
        </w:rPr>
      </w:pPr>
      <w:r>
        <w:rPr>
          <w:sz w:val="24"/>
        </w:rPr>
        <w:t>式中：</w:t>
      </w:r>
    </w:p>
    <w:p>
      <w:pPr>
        <w:tabs>
          <w:tab w:val="left" w:pos="1620"/>
          <w:tab w:val="left" w:pos="8460"/>
        </w:tabs>
        <w:spacing w:line="360" w:lineRule="auto"/>
        <w:ind w:firstLine="480" w:firstLineChars="200"/>
        <w:rPr>
          <w:sz w:val="24"/>
        </w:rPr>
      </w:pPr>
      <m:oMath>
        <m:r>
          <m:rPr/>
          <w:rPr>
            <w:rFonts w:ascii="Cambria Math" w:hAnsi="Cambria Math"/>
            <w:sz w:val="24"/>
          </w:rPr>
          <m:t>ΔL</m:t>
        </m:r>
      </m:oMath>
      <w:r>
        <w:rPr>
          <w:sz w:val="24"/>
        </w:rPr>
        <w:t>——沥青延度试验仪拉伸装置示值误差，mm；</w:t>
      </w:r>
    </w:p>
    <w:p>
      <w:pPr>
        <w:tabs>
          <w:tab w:val="left" w:pos="1620"/>
          <w:tab w:val="left" w:pos="8460"/>
        </w:tabs>
        <w:spacing w:line="360" w:lineRule="auto"/>
        <w:ind w:firstLine="480" w:firstLineChars="200"/>
        <w:rPr>
          <w:sz w:val="24"/>
        </w:rPr>
      </w:pPr>
      <m:oMath>
        <m:r>
          <m:rPr/>
          <w:rPr>
            <w:rFonts w:ascii="Cambria Math" w:hAnsi="Cambria Math"/>
            <w:sz w:val="24"/>
          </w:rPr>
          <m:t>L</m:t>
        </m:r>
      </m:oMath>
      <w:r>
        <w:rPr>
          <w:sz w:val="24"/>
        </w:rPr>
        <w:t>——沥青延度试验仪拉伸装置示值，mm；</w:t>
      </w:r>
    </w:p>
    <w:p>
      <w:pPr>
        <w:tabs>
          <w:tab w:val="left" w:pos="1620"/>
          <w:tab w:val="left" w:pos="8460"/>
        </w:tabs>
        <w:spacing w:line="360" w:lineRule="auto"/>
        <w:ind w:firstLine="480" w:firstLineChars="200"/>
        <w:rPr>
          <w:sz w:val="24"/>
        </w:rPr>
      </w:pPr>
      <m:oMath>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m:sty m:val="p"/>
              </m:rPr>
              <w:rPr>
                <w:rFonts w:ascii="Cambria Math" w:hAnsi="Cambria Math"/>
                <w:sz w:val="24"/>
              </w:rPr>
              <m:t>s</m:t>
            </m:r>
            <m:ctrlPr>
              <w:rPr>
                <w:rFonts w:ascii="Cambria Math" w:hAnsi="Cambria Math"/>
                <w:i/>
                <w:sz w:val="24"/>
              </w:rPr>
            </m:ctrlPr>
          </m:sub>
        </m:sSub>
      </m:oMath>
      <w:r>
        <w:rPr>
          <w:sz w:val="24"/>
        </w:rPr>
        <w:t>——钢卷尺测得的实际拉伸距离，mm。</w:t>
      </w:r>
    </w:p>
    <w:p>
      <w:pPr>
        <w:spacing w:line="360" w:lineRule="auto"/>
        <w:rPr>
          <w:sz w:val="24"/>
        </w:rPr>
      </w:pPr>
    </w:p>
    <w:p>
      <w:pPr>
        <w:pStyle w:val="4"/>
      </w:pPr>
      <w:bookmarkStart w:id="20" w:name="_Toc180395268"/>
      <w:r>
        <w:t>7.4拉伸速度相对误差</w:t>
      </w:r>
      <w:bookmarkEnd w:id="20"/>
    </w:p>
    <w:p>
      <w:pPr>
        <w:snapToGrid w:val="0"/>
        <w:spacing w:line="360" w:lineRule="auto"/>
        <w:ind w:firstLine="480" w:firstLineChars="200"/>
        <w:rPr>
          <w:sz w:val="24"/>
        </w:rPr>
      </w:pPr>
      <w:bookmarkStart w:id="21" w:name="_Hlk181353455"/>
      <w:r>
        <w:rPr>
          <w:sz w:val="24"/>
        </w:rPr>
        <w:t>测量前将拉伸装置指示值调至“0”点，分别设定拉伸速度为50 mm/min和10 mm/min，开启拉伸装置的同时按下秒表，计时10 min停止拉伸装置，用钢卷尺测量拉伸装置的移动距离，按公式（6）计算拉伸速度，重复三次试验，取3次测量的平均值作为校准结果，按公式（7）计算拉伸速度相对误差。</w:t>
      </w:r>
    </w:p>
    <w:bookmarkEnd w:id="21"/>
    <w:p>
      <w:pPr>
        <w:snapToGrid w:val="0"/>
        <w:spacing w:line="360" w:lineRule="auto"/>
        <w:ind w:firstLine="480" w:firstLineChars="200"/>
        <w:rPr>
          <w:sz w:val="24"/>
        </w:rPr>
      </w:pPr>
    </w:p>
    <w:p>
      <w:pPr>
        <w:autoSpaceDE w:val="0"/>
        <w:autoSpaceDN w:val="0"/>
        <w:spacing w:before="20" w:line="360" w:lineRule="atLeast"/>
        <w:ind w:firstLine="480" w:firstLineChars="200"/>
        <w:jc w:val="right"/>
        <w:rPr>
          <w:sz w:val="24"/>
        </w:rPr>
      </w:pPr>
      <m:oMath>
        <m:acc>
          <m:accPr>
            <m:chr m:val="̅"/>
            <m:ctrlPr>
              <w:rPr>
                <w:rFonts w:ascii="Cambria Math" w:hAnsi="Cambria Math"/>
                <w:i/>
                <w:sz w:val="24"/>
              </w:rPr>
            </m:ctrlPr>
          </m:accPr>
          <m:e>
            <m:r>
              <m:rPr/>
              <w:rPr>
                <w:rFonts w:ascii="Cambria Math" w:hAnsi="Cambria Math"/>
                <w:sz w:val="24"/>
              </w:rPr>
              <m:t>v</m:t>
            </m:r>
            <m:ctrlPr>
              <w:rPr>
                <w:rFonts w:ascii="Cambria Math" w:hAnsi="Cambria Math"/>
                <w:i/>
                <w:sz w:val="24"/>
              </w:rPr>
            </m:ctrlPr>
          </m:e>
        </m:acc>
        <m:r>
          <m:rP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m:sty m:val="p"/>
                  </m:rPr>
                  <w:rPr>
                    <w:rFonts w:ascii="Cambria Math" w:hAnsi="Cambria Math"/>
                    <w:sz w:val="24"/>
                  </w:rPr>
                  <m:t>2</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m:sty m:val="p"/>
                  </m:rPr>
                  <w:rPr>
                    <w:rFonts w:ascii="Cambria Math" w:hAnsi="Cambria Math"/>
                    <w:sz w:val="24"/>
                  </w:rPr>
                  <m:t>3</m:t>
                </m:r>
                <m:ctrlPr>
                  <w:rPr>
                    <w:rFonts w:ascii="Cambria Math" w:hAnsi="Cambria Math"/>
                    <w:i/>
                    <w:sz w:val="24"/>
                  </w:rPr>
                </m:ctrlPr>
              </m:sub>
            </m:sSub>
            <m:ctrlPr>
              <w:rPr>
                <w:rFonts w:ascii="Cambria Math" w:hAnsi="Cambria Math"/>
                <w:i/>
                <w:sz w:val="24"/>
              </w:rPr>
            </m:ctrlPr>
          </m:num>
          <m:den>
            <m:r>
              <m:rPr/>
              <w:rPr>
                <w:rFonts w:ascii="Cambria Math" w:hAnsi="Cambria Math"/>
                <w:sz w:val="24"/>
              </w:rPr>
              <m:t>30</m:t>
            </m:r>
            <m:ctrlPr>
              <w:rPr>
                <w:rFonts w:ascii="Cambria Math" w:hAnsi="Cambria Math"/>
                <w:i/>
                <w:sz w:val="24"/>
              </w:rPr>
            </m:ctrlPr>
          </m:den>
        </m:f>
      </m:oMath>
      <w:r>
        <w:rPr>
          <w:sz w:val="24"/>
        </w:rPr>
        <w:t xml:space="preserve">                                （6）</w:t>
      </w:r>
    </w:p>
    <w:p>
      <w:pPr>
        <w:autoSpaceDE w:val="0"/>
        <w:autoSpaceDN w:val="0"/>
        <w:spacing w:before="20" w:line="360" w:lineRule="atLeast"/>
        <w:ind w:firstLine="480" w:firstLineChars="200"/>
        <w:jc w:val="right"/>
        <w:rPr>
          <w:sz w:val="24"/>
        </w:rPr>
      </w:pPr>
      <m:oMath>
        <m:r>
          <m:rPr/>
          <w:rPr>
            <w:rFonts w:ascii="Cambria Math" w:hAnsi="Cambria Math"/>
            <w:sz w:val="24"/>
          </w:rPr>
          <m:t>∆v=</m:t>
        </m:r>
        <m:f>
          <m:fPr>
            <m:ctrlPr>
              <w:rPr>
                <w:rFonts w:ascii="Cambria Math" w:hAnsi="Cambria Math"/>
                <w:i/>
                <w:sz w:val="24"/>
              </w:rPr>
            </m:ctrlPr>
          </m:fPr>
          <m:num>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r>
              <m:rPr/>
              <w:rPr>
                <w:rFonts w:ascii="Cambria Math" w:hAnsi="Cambria Math"/>
                <w:sz w:val="24"/>
              </w:rPr>
              <m:t>−</m:t>
            </m:r>
            <m:acc>
              <m:accPr>
                <m:chr m:val="̅"/>
                <m:ctrlPr>
                  <w:rPr>
                    <w:rFonts w:ascii="Cambria Math" w:hAnsi="Cambria Math"/>
                    <w:i/>
                    <w:sz w:val="24"/>
                  </w:rPr>
                </m:ctrlPr>
              </m:accPr>
              <m:e>
                <m:r>
                  <m:rPr/>
                  <w:rPr>
                    <w:rFonts w:ascii="Cambria Math" w:hAnsi="Cambria Math"/>
                    <w:sz w:val="24"/>
                  </w:rPr>
                  <m:t>v</m:t>
                </m:r>
                <m:ctrlPr>
                  <w:rPr>
                    <w:rFonts w:ascii="Cambria Math" w:hAnsi="Cambria Math"/>
                    <w:i/>
                    <w:sz w:val="24"/>
                  </w:rPr>
                </m:ctrlPr>
              </m:e>
            </m:acc>
            <m:ctrlPr>
              <w:rPr>
                <w:rFonts w:ascii="Cambria Math" w:hAnsi="Cambria Math"/>
                <w:i/>
                <w:sz w:val="24"/>
              </w:rPr>
            </m:ctrlPr>
          </m:num>
          <m:den>
            <m:acc>
              <m:accPr>
                <m:chr m:val="̅"/>
                <m:ctrlPr>
                  <w:rPr>
                    <w:rFonts w:ascii="Cambria Math" w:hAnsi="Cambria Math"/>
                    <w:i/>
                    <w:sz w:val="24"/>
                  </w:rPr>
                </m:ctrlPr>
              </m:accPr>
              <m:e>
                <m:r>
                  <m:rPr/>
                  <w:rPr>
                    <w:rFonts w:ascii="Cambria Math" w:hAnsi="Cambria Math"/>
                    <w:sz w:val="24"/>
                  </w:rPr>
                  <m:t>v</m:t>
                </m:r>
                <m:ctrlPr>
                  <w:rPr>
                    <w:rFonts w:ascii="Cambria Math" w:hAnsi="Cambria Math"/>
                    <w:i/>
                    <w:sz w:val="24"/>
                  </w:rPr>
                </m:ctrlPr>
              </m:e>
            </m:acc>
            <m:ctrlPr>
              <w:rPr>
                <w:rFonts w:ascii="Cambria Math" w:hAnsi="Cambria Math"/>
                <w:i/>
                <w:sz w:val="24"/>
              </w:rPr>
            </m:ctrlPr>
          </m:den>
        </m:f>
        <m:r>
          <m:rPr/>
          <w:rPr>
            <w:rFonts w:ascii="Cambria Math" w:hAnsi="Cambria Math"/>
            <w:sz w:val="24"/>
          </w:rPr>
          <m:t>×100%</m:t>
        </m:r>
      </m:oMath>
      <w:r>
        <w:rPr>
          <w:sz w:val="24"/>
        </w:rPr>
        <w:t xml:space="preserve">                          （7）</w:t>
      </w:r>
    </w:p>
    <w:p>
      <w:pPr>
        <w:tabs>
          <w:tab w:val="left" w:pos="1620"/>
          <w:tab w:val="left" w:pos="8460"/>
        </w:tabs>
        <w:spacing w:line="300" w:lineRule="auto"/>
        <w:ind w:firstLine="480" w:firstLineChars="200"/>
        <w:rPr>
          <w:sz w:val="24"/>
        </w:rPr>
      </w:pPr>
      <w:r>
        <w:rPr>
          <w:sz w:val="24"/>
        </w:rPr>
        <w:t>式中：</w:t>
      </w:r>
    </w:p>
    <w:p>
      <w:pPr>
        <w:tabs>
          <w:tab w:val="left" w:pos="1620"/>
          <w:tab w:val="left" w:pos="8460"/>
        </w:tabs>
        <w:spacing w:line="360" w:lineRule="auto"/>
        <w:ind w:firstLine="480" w:firstLineChars="200"/>
        <w:rPr>
          <w:sz w:val="24"/>
        </w:rPr>
      </w:pPr>
      <m:oMath>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m:sty m:val="p"/>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m:sty m:val="p"/>
              </m:rPr>
              <w:rPr>
                <w:rFonts w:ascii="Cambria Math" w:hAnsi="Cambria Math"/>
                <w:sz w:val="24"/>
              </w:rPr>
              <m:t>2</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m:sty m:val="p"/>
              </m:rPr>
              <w:rPr>
                <w:rFonts w:ascii="Cambria Math" w:hAnsi="Cambria Math"/>
                <w:sz w:val="24"/>
              </w:rPr>
              <m:t>3</m:t>
            </m:r>
            <m:ctrlPr>
              <w:rPr>
                <w:rFonts w:ascii="Cambria Math" w:hAnsi="Cambria Math"/>
                <w:i/>
                <w:sz w:val="24"/>
              </w:rPr>
            </m:ctrlPr>
          </m:sub>
        </m:sSub>
      </m:oMath>
      <w:r>
        <w:rPr>
          <w:sz w:val="24"/>
        </w:rPr>
        <w:t>——3次实测移动距离，mm；</w:t>
      </w:r>
    </w:p>
    <w:p>
      <w:pPr>
        <w:tabs>
          <w:tab w:val="left" w:pos="1620"/>
          <w:tab w:val="left" w:pos="8460"/>
        </w:tabs>
        <w:spacing w:line="300" w:lineRule="auto"/>
        <w:ind w:firstLine="480" w:firstLineChars="200"/>
        <w:rPr>
          <w:sz w:val="24"/>
        </w:rPr>
      </w:pPr>
      <m:oMath>
        <m:acc>
          <m:accPr>
            <m:chr m:val="̅"/>
            <m:ctrlPr>
              <w:rPr>
                <w:rFonts w:ascii="Cambria Math" w:hAnsi="Cambria Math"/>
                <w:i/>
                <w:sz w:val="24"/>
              </w:rPr>
            </m:ctrlPr>
          </m:accPr>
          <m:e>
            <m:r>
              <m:rPr/>
              <w:rPr>
                <w:rFonts w:ascii="Cambria Math" w:hAnsi="Cambria Math"/>
                <w:sz w:val="24"/>
              </w:rPr>
              <m:t>v</m:t>
            </m:r>
            <m:ctrlPr>
              <w:rPr>
                <w:rFonts w:ascii="Cambria Math" w:hAnsi="Cambria Math"/>
                <w:i/>
                <w:sz w:val="24"/>
              </w:rPr>
            </m:ctrlPr>
          </m:e>
        </m:acc>
      </m:oMath>
      <w:r>
        <w:rPr>
          <w:sz w:val="24"/>
        </w:rPr>
        <w:t>——沥青延度试验仪实测平均拉伸速度，mm/min；</w:t>
      </w:r>
    </w:p>
    <w:p>
      <w:pPr>
        <w:tabs>
          <w:tab w:val="left" w:pos="1620"/>
          <w:tab w:val="left" w:pos="8460"/>
        </w:tabs>
        <w:spacing w:line="300" w:lineRule="auto"/>
        <w:ind w:firstLine="480" w:firstLineChars="200"/>
        <w:rPr>
          <w:sz w:val="24"/>
        </w:rPr>
      </w:pPr>
      <m:oMath>
        <m:r>
          <m:rPr/>
          <w:rPr>
            <w:rFonts w:ascii="Cambria Math" w:hAnsi="Cambria Math"/>
            <w:sz w:val="24"/>
          </w:rPr>
          <m:t>∆v</m:t>
        </m:r>
      </m:oMath>
      <w:r>
        <w:rPr>
          <w:sz w:val="24"/>
        </w:rPr>
        <w:t>——沥青延度试验仪拉伸速度相对误差，%；</w:t>
      </w:r>
    </w:p>
    <w:p>
      <w:pPr>
        <w:tabs>
          <w:tab w:val="left" w:pos="1620"/>
          <w:tab w:val="left" w:pos="8460"/>
        </w:tabs>
        <w:spacing w:line="300" w:lineRule="auto"/>
        <w:ind w:firstLine="480" w:firstLineChars="200"/>
        <w:rPr>
          <w:sz w:val="24"/>
        </w:rPr>
      </w:pPr>
      <m:oMath>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oMath>
      <w:r>
        <w:rPr>
          <w:sz w:val="24"/>
        </w:rPr>
        <w:t>——沥青延度试验仪设定拉伸速度，mm/min。</w:t>
      </w:r>
    </w:p>
    <w:p>
      <w:pPr>
        <w:tabs>
          <w:tab w:val="left" w:pos="1620"/>
          <w:tab w:val="left" w:pos="8460"/>
        </w:tabs>
        <w:spacing w:line="360" w:lineRule="auto"/>
        <w:ind w:firstLine="480" w:firstLineChars="200"/>
        <w:rPr>
          <w:sz w:val="24"/>
        </w:rPr>
      </w:pPr>
    </w:p>
    <w:p>
      <w:pPr>
        <w:pStyle w:val="4"/>
      </w:pPr>
      <w:bookmarkStart w:id="22" w:name="_Toc180395269"/>
      <w:r>
        <w:t>7.5摆动量</w:t>
      </w:r>
      <w:bookmarkEnd w:id="22"/>
    </w:p>
    <w:p>
      <w:pPr>
        <w:snapToGrid w:val="0"/>
        <w:spacing w:line="360" w:lineRule="auto"/>
        <w:ind w:firstLine="480"/>
        <w:rPr>
          <w:sz w:val="24"/>
        </w:rPr>
      </w:pPr>
      <w:r>
        <w:rPr>
          <w:sz w:val="24"/>
        </w:rPr>
        <w:t>将摆动量测量标准稳定安装在延度试验仪拉伸装置上，在拉伸装置 “0”点位置对摆动量测量标准的横向及纵向进行零点调整，启动拉伸装置使其移动至500 mm时停止拉伸，对摆动量测量标准的横向及纵向进行零点调整，将拉伸装置返回至“0”点，若摆动量测量标准横向和纵向显示值均小于0.02 mm，则代表零点调整完成，否则应按照上述方法继续调整。</w:t>
      </w:r>
    </w:p>
    <w:p>
      <w:pPr>
        <w:snapToGrid w:val="0"/>
        <w:spacing w:line="360" w:lineRule="auto"/>
        <w:ind w:firstLine="480"/>
        <w:rPr>
          <w:sz w:val="24"/>
        </w:rPr>
      </w:pPr>
      <w:r>
        <w:rPr>
          <w:sz w:val="24"/>
        </w:rPr>
        <w:t>设定拉伸速度为50 mm/min，启动沥青延度试验仪拉伸装置使其向前移动至500 mm，记录试验过程中摆动量测量标准的示值，分别取其横向、纵向最大值作为本次试验结果。</w:t>
      </w:r>
    </w:p>
    <w:p>
      <w:pPr>
        <w:snapToGrid w:val="0"/>
        <w:spacing w:line="360" w:lineRule="auto"/>
        <w:rPr>
          <w:sz w:val="24"/>
        </w:rPr>
      </w:pPr>
    </w:p>
    <w:p>
      <w:pPr>
        <w:pStyle w:val="4"/>
      </w:pPr>
      <w:bookmarkStart w:id="23" w:name="_Toc180395270"/>
      <w:r>
        <w:t>7.5拉伸力相对误差</w:t>
      </w:r>
      <w:bookmarkEnd w:id="23"/>
    </w:p>
    <w:p>
      <w:pPr>
        <w:snapToGrid w:val="0"/>
        <w:spacing w:line="360" w:lineRule="auto"/>
        <w:ind w:firstLine="480"/>
        <w:rPr>
          <w:sz w:val="24"/>
        </w:rPr>
      </w:pPr>
      <w:bookmarkStart w:id="24" w:name="_Hlk181353471"/>
      <w:r>
        <w:rPr>
          <w:sz w:val="24"/>
        </w:rPr>
        <w:t>力值校准点通常为60 N、100 N、150 N、240 N。用弹簧将拉力传感器和拉伸装置固定端通过专用固定设备连接，拉力传感器和拉伸装置移动端直接连接，使拉力传感器轴线与拉伸装置轴线重合并清零，启动拉伸装置使标准测力仪示值达到校准点附近时停止拉伸，分别记录标准测力仪及沥青延度试验仪拉力示值，根据公式（8）计算拉伸力相对误差。</w:t>
      </w:r>
    </w:p>
    <w:bookmarkEnd w:id="24"/>
    <w:p>
      <w:pPr>
        <w:autoSpaceDE w:val="0"/>
        <w:autoSpaceDN w:val="0"/>
        <w:spacing w:before="20" w:line="360" w:lineRule="atLeast"/>
        <w:ind w:firstLine="480" w:firstLineChars="200"/>
        <w:jc w:val="right"/>
        <w:rPr>
          <w:sz w:val="24"/>
        </w:rPr>
      </w:pPr>
      <m:oMath>
        <m:r>
          <m:rPr/>
          <w:rPr>
            <w:rFonts w:ascii="Cambria Math" w:hAnsi="Cambria Math"/>
            <w:sz w:val="24"/>
          </w:rPr>
          <m:t>∆F=</m:t>
        </m:r>
        <m:f>
          <m:fPr>
            <m:ctrlPr>
              <w:rPr>
                <w:rFonts w:ascii="Cambria Math" w:hAnsi="Cambria Math"/>
                <w:i/>
                <w:sz w:val="24"/>
              </w:rPr>
            </m:ctrlPr>
          </m:fPr>
          <m:num>
            <m:r>
              <m:rPr/>
              <w:rPr>
                <w:rFonts w:ascii="Cambria Math" w:hAnsi="Cambria Math"/>
                <w:sz w:val="24"/>
              </w:rPr>
              <m:t>F−</m:t>
            </m:r>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m:sty m:val="p"/>
                  </m:rPr>
                  <w:rPr>
                    <w:rFonts w:ascii="Cambria Math" w:hAnsi="Cambria Math"/>
                    <w:sz w:val="24"/>
                  </w:rPr>
                  <m:t>s</m:t>
                </m:r>
                <m:ctrlPr>
                  <w:rPr>
                    <w:rFonts w:ascii="Cambria Math" w:hAnsi="Cambria Math"/>
                    <w:i/>
                    <w:sz w:val="24"/>
                  </w:rPr>
                </m:ctrlPr>
              </m:sub>
            </m:sSub>
            <m:ctrlPr>
              <w:rPr>
                <w:rFonts w:ascii="Cambria Math" w:hAnsi="Cambria Math"/>
                <w:i/>
                <w:sz w:val="24"/>
              </w:rPr>
            </m:ctrlPr>
          </m:num>
          <m:den>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m:sty m:val="p"/>
                  </m:rPr>
                  <w:rPr>
                    <w:rFonts w:ascii="Cambria Math" w:hAnsi="Cambria Math"/>
                    <w:sz w:val="24"/>
                  </w:rPr>
                  <m:t>s</m:t>
                </m:r>
                <m:ctrlPr>
                  <w:rPr>
                    <w:rFonts w:ascii="Cambria Math" w:hAnsi="Cambria Math"/>
                    <w:i/>
                    <w:sz w:val="24"/>
                  </w:rPr>
                </m:ctrlPr>
              </m:sub>
            </m:sSub>
            <m:ctrlPr>
              <w:rPr>
                <w:rFonts w:ascii="Cambria Math" w:hAnsi="Cambria Math"/>
                <w:i/>
                <w:sz w:val="24"/>
              </w:rPr>
            </m:ctrlPr>
          </m:den>
        </m:f>
        <m:r>
          <m:rPr/>
          <w:rPr>
            <w:rFonts w:ascii="Cambria Math" w:hAnsi="Cambria Math"/>
            <w:sz w:val="24"/>
          </w:rPr>
          <m:t>×100%</m:t>
        </m:r>
      </m:oMath>
      <w:r>
        <w:rPr>
          <w:sz w:val="24"/>
        </w:rPr>
        <w:t xml:space="preserve">                        （8）</w:t>
      </w:r>
    </w:p>
    <w:p>
      <w:pPr>
        <w:tabs>
          <w:tab w:val="left" w:pos="1620"/>
          <w:tab w:val="left" w:pos="8460"/>
        </w:tabs>
        <w:spacing w:line="300" w:lineRule="auto"/>
        <w:ind w:firstLine="480" w:firstLineChars="200"/>
        <w:rPr>
          <w:sz w:val="24"/>
        </w:rPr>
      </w:pPr>
      <w:r>
        <w:rPr>
          <w:sz w:val="24"/>
        </w:rPr>
        <w:t>式中：</w:t>
      </w:r>
    </w:p>
    <w:p>
      <w:pPr>
        <w:tabs>
          <w:tab w:val="left" w:pos="1620"/>
          <w:tab w:val="left" w:pos="8460"/>
        </w:tabs>
        <w:spacing w:line="300" w:lineRule="auto"/>
        <w:ind w:firstLine="480" w:firstLineChars="200"/>
        <w:rPr>
          <w:sz w:val="24"/>
        </w:rPr>
      </w:pPr>
      <m:oMath>
        <m:r>
          <m:rPr/>
          <w:rPr>
            <w:rFonts w:ascii="Cambria Math" w:hAnsi="Cambria Math"/>
            <w:sz w:val="24"/>
          </w:rPr>
          <m:t>∆F</m:t>
        </m:r>
      </m:oMath>
      <w:r>
        <w:rPr>
          <w:sz w:val="24"/>
        </w:rPr>
        <w:t>——沥青延度试验仪拉伸力相对误差，%；</w:t>
      </w:r>
    </w:p>
    <w:p>
      <w:pPr>
        <w:tabs>
          <w:tab w:val="left" w:pos="1620"/>
          <w:tab w:val="left" w:pos="8460"/>
        </w:tabs>
        <w:spacing w:line="300" w:lineRule="auto"/>
        <w:ind w:firstLine="480" w:firstLineChars="200"/>
        <w:rPr>
          <w:sz w:val="24"/>
        </w:rPr>
      </w:pPr>
      <w:r>
        <w:rPr>
          <w:i/>
          <w:position w:val="-4"/>
          <w:sz w:val="24"/>
        </w:rPr>
        <w:object>
          <v:shape id="_x0000_i1025" o:spt="75" type="#_x0000_t75" style="height:13.1pt;width:13.1pt;" o:ole="t" filled="f" o:preferrelative="t" stroked="f" coordsize="21600,21600">
            <v:path/>
            <v:fill on="f" focussize="0,0"/>
            <v:stroke on="f" joinstyle="miter"/>
            <v:imagedata r:id="rId18" o:title=""/>
            <o:lock v:ext="edit" aspectratio="t"/>
            <w10:wrap type="none"/>
            <w10:anchorlock/>
          </v:shape>
          <o:OLEObject Type="Embed" ProgID="Equation.DSMT4" ShapeID="_x0000_i1025" DrawAspect="Content" ObjectID="_1468075725" r:id="rId17">
            <o:LockedField>false</o:LockedField>
          </o:OLEObject>
        </w:object>
      </w:r>
      <w:r>
        <w:rPr>
          <w:sz w:val="24"/>
        </w:rPr>
        <w:t>——沥青延度试验仪显示力值，N；</w:t>
      </w:r>
    </w:p>
    <w:p>
      <w:pPr>
        <w:tabs>
          <w:tab w:val="left" w:pos="1620"/>
          <w:tab w:val="left" w:pos="8460"/>
        </w:tabs>
        <w:spacing w:line="300" w:lineRule="auto"/>
        <w:ind w:firstLine="480" w:firstLineChars="200"/>
        <w:rPr>
          <w:i/>
          <w:sz w:val="24"/>
        </w:rPr>
      </w:pPr>
      <m:oMath>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m:sty m:val="p"/>
              </m:rPr>
              <w:rPr>
                <w:rFonts w:ascii="Cambria Math" w:hAnsi="Cambria Math"/>
                <w:sz w:val="24"/>
              </w:rPr>
              <m:t>s</m:t>
            </m:r>
            <m:ctrlPr>
              <w:rPr>
                <w:rFonts w:ascii="Cambria Math" w:hAnsi="Cambria Math"/>
                <w:i/>
                <w:sz w:val="24"/>
              </w:rPr>
            </m:ctrlPr>
          </m:sub>
        </m:sSub>
      </m:oMath>
      <w:r>
        <w:rPr>
          <w:sz w:val="24"/>
        </w:rPr>
        <w:t>——标准测力仪测得力值，N。</w:t>
      </w:r>
    </w:p>
    <w:p>
      <w:pPr>
        <w:autoSpaceDE w:val="0"/>
        <w:autoSpaceDN w:val="0"/>
        <w:spacing w:before="20" w:line="360" w:lineRule="atLeast"/>
        <w:ind w:firstLine="480" w:firstLineChars="200"/>
        <w:jc w:val="center"/>
        <w:rPr>
          <w:sz w:val="24"/>
        </w:rPr>
      </w:pPr>
    </w:p>
    <w:p>
      <w:pPr>
        <w:pStyle w:val="4"/>
      </w:pPr>
      <w:bookmarkStart w:id="25" w:name="_Toc180395271"/>
      <w:r>
        <w:t>7.6试模尺寸</w:t>
      </w:r>
      <w:bookmarkEnd w:id="25"/>
    </w:p>
    <w:p>
      <w:pPr>
        <w:spacing w:line="360" w:lineRule="auto"/>
        <w:ind w:firstLine="480" w:firstLineChars="200"/>
        <w:rPr>
          <w:sz w:val="24"/>
        </w:rPr>
      </w:pPr>
      <w:r>
        <w:rPr>
          <w:sz w:val="24"/>
        </w:rPr>
        <w:t>将试模组装到底板上，用数显卡尺测量图2中标注的试模尺寸。</w:t>
      </w:r>
    </w:p>
    <w:p>
      <w:pPr>
        <w:pStyle w:val="4"/>
      </w:pPr>
      <w:bookmarkStart w:id="26" w:name="_Toc180395272"/>
      <w:r>
        <w:t>7.7</w:t>
      </w:r>
      <w:bookmarkEnd w:id="26"/>
      <w:r>
        <w:t>试模内壁和底板表面粗糙度</w:t>
      </w:r>
    </w:p>
    <w:p>
      <w:pPr>
        <w:tabs>
          <w:tab w:val="left" w:pos="1620"/>
          <w:tab w:val="left" w:pos="8460"/>
        </w:tabs>
        <w:spacing w:line="300" w:lineRule="auto"/>
        <w:ind w:firstLine="480" w:firstLineChars="200"/>
        <w:rPr>
          <w:sz w:val="24"/>
        </w:rPr>
      </w:pPr>
      <w:r>
        <w:rPr>
          <w:sz w:val="24"/>
        </w:rPr>
        <w:t>用表面粗糙度比较样块对底板表面、试模内壁进行比较测量，与底板表面、试模内壁粗糙度最接近的比较样块的标称值即为校准结果。</w:t>
      </w:r>
    </w:p>
    <w:p>
      <w:pPr>
        <w:spacing w:line="360" w:lineRule="auto"/>
        <w:rPr>
          <w:szCs w:val="21"/>
        </w:rPr>
      </w:pPr>
    </w:p>
    <w:p>
      <w:pPr>
        <w:pStyle w:val="2"/>
        <w:rPr>
          <w:b w:val="0"/>
        </w:rPr>
      </w:pPr>
      <w:bookmarkStart w:id="27" w:name="_Toc180395273"/>
      <w:r>
        <w:rPr>
          <w:b w:val="0"/>
        </w:rPr>
        <w:t>8  校准结果表达</w:t>
      </w:r>
      <w:bookmarkEnd w:id="27"/>
    </w:p>
    <w:p>
      <w:pPr>
        <w:tabs>
          <w:tab w:val="right" w:leader="middleDot" w:pos="9360"/>
          <w:tab w:val="right" w:leader="middleDot" w:pos="9450"/>
          <w:tab w:val="right" w:leader="dot" w:pos="11340"/>
          <w:tab w:val="right" w:leader="middleDot" w:pos="14742"/>
        </w:tabs>
        <w:spacing w:line="520" w:lineRule="exact"/>
        <w:ind w:firstLine="491" w:firstLineChars="205"/>
        <w:rPr>
          <w:sz w:val="24"/>
        </w:rPr>
      </w:pPr>
      <w:r>
        <w:rPr>
          <w:sz w:val="24"/>
        </w:rPr>
        <w:t>校准结果应在校准证书上反映。校准证书应包括以下信息：</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a） 标题: “校准证书”；</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b） 实验室名称和地址；</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c） 进行校准的地点；</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d） 校准证书编号、页码及总页数的标识；</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e） 客户名称和地址；</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f） 被校仪器的制造单位、名称、型号及编号；</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g） 校准单位校准专用章；</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h） 校准日期；</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i） 校准所依据的技术规范名称及代号；</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j） 本次校准所用有证标准物质和主要测量设备名称、型号、准确度等级或不确定度或最大允许误差、仪器编号、证书编号及有效期；</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k） 校准时的环境温度、相对湿度；</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l） 校准结果及其测量不确定度；</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m） 对校准规范偏离的说明（若有）；</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n） 复校时间间隔的建议；</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o） “校准证书”的校准人、核验人、批准人签名及签发日期；</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p） 校准结果仅对被校仪器本次测量有效的声明；</w:t>
      </w:r>
    </w:p>
    <w:p>
      <w:pPr>
        <w:tabs>
          <w:tab w:val="right" w:leader="middleDot" w:pos="9360"/>
          <w:tab w:val="right" w:leader="middleDot" w:pos="9450"/>
          <w:tab w:val="right" w:leader="dot" w:pos="11340"/>
          <w:tab w:val="right" w:leader="middleDot" w:pos="14742"/>
        </w:tabs>
        <w:spacing w:line="520" w:lineRule="exact"/>
        <w:ind w:firstLine="482" w:firstLineChars="201"/>
        <w:rPr>
          <w:sz w:val="24"/>
        </w:rPr>
      </w:pPr>
      <w:r>
        <w:rPr>
          <w:sz w:val="24"/>
        </w:rPr>
        <w:t>q） 未经实验室书面批准，部分复制证书或报告无效的声明。</w:t>
      </w:r>
    </w:p>
    <w:p>
      <w:pPr>
        <w:pStyle w:val="2"/>
        <w:rPr>
          <w:b w:val="0"/>
        </w:rPr>
      </w:pPr>
      <w:bookmarkStart w:id="28" w:name="_Toc180395274"/>
      <w:r>
        <w:rPr>
          <w:b w:val="0"/>
        </w:rPr>
        <w:t>9  复校时间间隔</w:t>
      </w:r>
      <w:bookmarkEnd w:id="28"/>
    </w:p>
    <w:p>
      <w:pPr>
        <w:tabs>
          <w:tab w:val="right" w:leader="middleDot" w:pos="9360"/>
          <w:tab w:val="right" w:leader="middleDot" w:pos="9450"/>
          <w:tab w:val="right" w:leader="dot" w:pos="11340"/>
          <w:tab w:val="right" w:leader="middleDot" w:pos="14742"/>
        </w:tabs>
        <w:spacing w:line="520" w:lineRule="exact"/>
        <w:ind w:firstLine="480" w:firstLineChars="200"/>
        <w:rPr>
          <w:sz w:val="24"/>
        </w:rPr>
      </w:pPr>
      <w:r>
        <w:rPr>
          <w:sz w:val="24"/>
        </w:rPr>
        <w:t>沥青延度试验仪的复校时间间隔建议为12个月。由于复校时间间隔的长短是由沥青延度试验仪的使用情况、使用者、仪器本身质量等诸因素所决定的，因此，送校单位可根据实际使用情况自主决定复校时间间隔。</w:t>
      </w:r>
    </w:p>
    <w:p>
      <w:pPr>
        <w:widowControl/>
        <w:spacing w:line="360" w:lineRule="auto"/>
        <w:jc w:val="left"/>
        <w:rPr>
          <w:rFonts w:eastAsia="黑体"/>
          <w:b/>
          <w:kern w:val="44"/>
          <w:sz w:val="24"/>
          <w:szCs w:val="20"/>
        </w:rPr>
      </w:pPr>
    </w:p>
    <w:p>
      <w:pPr>
        <w:widowControl/>
        <w:jc w:val="left"/>
        <w:rPr>
          <w:b/>
          <w:bCs/>
          <w:sz w:val="28"/>
          <w:szCs w:val="28"/>
        </w:rPr>
        <w:sectPr>
          <w:headerReference r:id="rId9" w:type="first"/>
          <w:footerReference r:id="rId12" w:type="first"/>
          <w:headerReference r:id="rId7" w:type="default"/>
          <w:footerReference r:id="rId10" w:type="default"/>
          <w:headerReference r:id="rId8" w:type="even"/>
          <w:footerReference r:id="rId11" w:type="even"/>
          <w:pgSz w:w="11906" w:h="16838"/>
          <w:pgMar w:top="1769" w:right="1531" w:bottom="1440" w:left="1531" w:header="1157" w:footer="992" w:gutter="0"/>
          <w:pgNumType w:start="1"/>
          <w:cols w:space="720" w:num="1"/>
          <w:titlePg/>
          <w:docGrid w:linePitch="312" w:charSpace="0"/>
        </w:sectPr>
      </w:pPr>
    </w:p>
    <w:p>
      <w:pPr>
        <w:pStyle w:val="3"/>
        <w:pageBreakBefore/>
        <w:spacing w:line="360" w:lineRule="auto"/>
        <w:rPr>
          <w:rFonts w:ascii="Times New Roman" w:hAnsi="Times New Roman"/>
          <w:b w:val="0"/>
          <w:sz w:val="28"/>
          <w:szCs w:val="28"/>
        </w:rPr>
      </w:pPr>
      <w:bookmarkStart w:id="29" w:name="_Toc180395275"/>
      <w:r>
        <w:rPr>
          <w:rFonts w:ascii="Times New Roman" w:hAnsi="Times New Roman"/>
          <w:b w:val="0"/>
          <w:sz w:val="28"/>
          <w:szCs w:val="28"/>
        </w:rPr>
        <w:t>附录A</w:t>
      </w:r>
      <w:bookmarkEnd w:id="29"/>
    </w:p>
    <w:p>
      <w:pPr>
        <w:spacing w:line="360" w:lineRule="auto"/>
        <w:jc w:val="center"/>
        <w:rPr>
          <w:sz w:val="28"/>
          <w:szCs w:val="28"/>
        </w:rPr>
      </w:pPr>
      <w:r>
        <w:rPr>
          <w:rFonts w:eastAsia="黑体"/>
          <w:sz w:val="28"/>
          <w:szCs w:val="28"/>
        </w:rPr>
        <w:t>沥青延度试验仪校准原始记录</w:t>
      </w:r>
      <w:r>
        <w:rPr>
          <w:rFonts w:eastAsia="黑体"/>
          <w:bCs/>
          <w:sz w:val="28"/>
          <w:szCs w:val="28"/>
        </w:rPr>
        <w:t>（参考）</w:t>
      </w:r>
      <w:r>
        <w:rPr>
          <w:rFonts w:eastAsia="黑体"/>
          <w:sz w:val="28"/>
          <w:szCs w:val="28"/>
        </w:rPr>
        <w:t>格式</w:t>
      </w:r>
    </w:p>
    <w:tbl>
      <w:tblPr>
        <w:tblStyle w:val="21"/>
        <w:tblW w:w="89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134"/>
        <w:gridCol w:w="709"/>
        <w:gridCol w:w="709"/>
        <w:gridCol w:w="425"/>
        <w:gridCol w:w="1559"/>
        <w:gridCol w:w="567"/>
        <w:gridCol w:w="709"/>
        <w:gridCol w:w="709"/>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01" w:type="dxa"/>
            <w:vAlign w:val="center"/>
          </w:tcPr>
          <w:p>
            <w:pPr>
              <w:spacing w:line="360" w:lineRule="auto"/>
              <w:jc w:val="center"/>
              <w:rPr>
                <w:szCs w:val="21"/>
              </w:rPr>
            </w:pPr>
            <w:r>
              <w:rPr>
                <w:szCs w:val="21"/>
              </w:rPr>
              <w:t>委托单位</w:t>
            </w:r>
          </w:p>
        </w:tc>
        <w:tc>
          <w:tcPr>
            <w:tcW w:w="2977" w:type="dxa"/>
            <w:gridSpan w:val="4"/>
            <w:vAlign w:val="center"/>
          </w:tcPr>
          <w:p>
            <w:pPr>
              <w:spacing w:line="360" w:lineRule="auto"/>
              <w:jc w:val="center"/>
              <w:rPr>
                <w:szCs w:val="21"/>
              </w:rPr>
            </w:pPr>
          </w:p>
        </w:tc>
        <w:tc>
          <w:tcPr>
            <w:tcW w:w="2126" w:type="dxa"/>
            <w:gridSpan w:val="2"/>
            <w:vAlign w:val="center"/>
          </w:tcPr>
          <w:p>
            <w:pPr>
              <w:spacing w:line="360" w:lineRule="auto"/>
              <w:jc w:val="center"/>
              <w:rPr>
                <w:szCs w:val="21"/>
              </w:rPr>
            </w:pPr>
            <w:r>
              <w:rPr>
                <w:szCs w:val="21"/>
              </w:rPr>
              <w:t>校准依据</w:t>
            </w:r>
          </w:p>
        </w:tc>
        <w:tc>
          <w:tcPr>
            <w:tcW w:w="2155" w:type="dxa"/>
            <w:gridSpan w:val="3"/>
            <w:vAlign w:val="center"/>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01" w:type="dxa"/>
            <w:vAlign w:val="center"/>
          </w:tcPr>
          <w:p>
            <w:pPr>
              <w:spacing w:line="360" w:lineRule="auto"/>
              <w:jc w:val="center"/>
              <w:rPr>
                <w:szCs w:val="21"/>
              </w:rPr>
            </w:pPr>
            <w:r>
              <w:rPr>
                <w:szCs w:val="21"/>
              </w:rPr>
              <w:t>器具名称</w:t>
            </w:r>
          </w:p>
        </w:tc>
        <w:tc>
          <w:tcPr>
            <w:tcW w:w="2977" w:type="dxa"/>
            <w:gridSpan w:val="4"/>
            <w:vAlign w:val="center"/>
          </w:tcPr>
          <w:p>
            <w:pPr>
              <w:spacing w:line="360" w:lineRule="auto"/>
              <w:jc w:val="center"/>
              <w:rPr>
                <w:szCs w:val="21"/>
              </w:rPr>
            </w:pPr>
          </w:p>
        </w:tc>
        <w:tc>
          <w:tcPr>
            <w:tcW w:w="2126" w:type="dxa"/>
            <w:gridSpan w:val="2"/>
            <w:vAlign w:val="center"/>
          </w:tcPr>
          <w:p>
            <w:pPr>
              <w:spacing w:line="360" w:lineRule="auto"/>
              <w:jc w:val="center"/>
              <w:rPr>
                <w:szCs w:val="21"/>
              </w:rPr>
            </w:pPr>
            <w:r>
              <w:rPr>
                <w:szCs w:val="21"/>
              </w:rPr>
              <w:t>型号规格</w:t>
            </w:r>
          </w:p>
        </w:tc>
        <w:tc>
          <w:tcPr>
            <w:tcW w:w="2155" w:type="dxa"/>
            <w:gridSpan w:val="3"/>
            <w:vAlign w:val="center"/>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01" w:type="dxa"/>
            <w:vAlign w:val="center"/>
          </w:tcPr>
          <w:p>
            <w:pPr>
              <w:spacing w:line="360" w:lineRule="auto"/>
              <w:jc w:val="center"/>
              <w:rPr>
                <w:szCs w:val="21"/>
              </w:rPr>
            </w:pPr>
            <w:r>
              <w:rPr>
                <w:szCs w:val="21"/>
              </w:rPr>
              <w:t>制造厂商</w:t>
            </w:r>
          </w:p>
        </w:tc>
        <w:tc>
          <w:tcPr>
            <w:tcW w:w="2977" w:type="dxa"/>
            <w:gridSpan w:val="4"/>
            <w:vAlign w:val="center"/>
          </w:tcPr>
          <w:p>
            <w:pPr>
              <w:spacing w:line="360" w:lineRule="auto"/>
              <w:jc w:val="center"/>
              <w:rPr>
                <w:szCs w:val="21"/>
              </w:rPr>
            </w:pPr>
          </w:p>
        </w:tc>
        <w:tc>
          <w:tcPr>
            <w:tcW w:w="2126" w:type="dxa"/>
            <w:gridSpan w:val="2"/>
            <w:vAlign w:val="center"/>
          </w:tcPr>
          <w:p>
            <w:pPr>
              <w:spacing w:line="360" w:lineRule="auto"/>
              <w:jc w:val="center"/>
              <w:rPr>
                <w:szCs w:val="21"/>
              </w:rPr>
            </w:pPr>
            <w:r>
              <w:rPr>
                <w:szCs w:val="21"/>
              </w:rPr>
              <w:t>出厂编号</w:t>
            </w:r>
          </w:p>
        </w:tc>
        <w:tc>
          <w:tcPr>
            <w:tcW w:w="2155" w:type="dxa"/>
            <w:gridSpan w:val="3"/>
            <w:vAlign w:val="center"/>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01" w:type="dxa"/>
            <w:vAlign w:val="center"/>
          </w:tcPr>
          <w:p>
            <w:pPr>
              <w:spacing w:line="360" w:lineRule="auto"/>
              <w:jc w:val="center"/>
              <w:rPr>
                <w:szCs w:val="21"/>
              </w:rPr>
            </w:pPr>
            <w:r>
              <w:rPr>
                <w:szCs w:val="21"/>
              </w:rPr>
              <w:t>温度</w:t>
            </w:r>
          </w:p>
        </w:tc>
        <w:tc>
          <w:tcPr>
            <w:tcW w:w="2977" w:type="dxa"/>
            <w:gridSpan w:val="4"/>
            <w:vAlign w:val="center"/>
          </w:tcPr>
          <w:p>
            <w:pPr>
              <w:spacing w:line="360" w:lineRule="auto"/>
              <w:jc w:val="center"/>
              <w:rPr>
                <w:szCs w:val="21"/>
              </w:rPr>
            </w:pPr>
          </w:p>
        </w:tc>
        <w:tc>
          <w:tcPr>
            <w:tcW w:w="2126" w:type="dxa"/>
            <w:gridSpan w:val="2"/>
            <w:vAlign w:val="center"/>
          </w:tcPr>
          <w:p>
            <w:pPr>
              <w:spacing w:line="360" w:lineRule="auto"/>
              <w:jc w:val="center"/>
              <w:rPr>
                <w:szCs w:val="21"/>
              </w:rPr>
            </w:pPr>
            <w:r>
              <w:rPr>
                <w:szCs w:val="21"/>
              </w:rPr>
              <w:t>湿度</w:t>
            </w:r>
          </w:p>
        </w:tc>
        <w:tc>
          <w:tcPr>
            <w:tcW w:w="2155" w:type="dxa"/>
            <w:gridSpan w:val="3"/>
            <w:vAlign w:val="center"/>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01" w:type="dxa"/>
            <w:vAlign w:val="center"/>
          </w:tcPr>
          <w:p>
            <w:pPr>
              <w:spacing w:line="360" w:lineRule="auto"/>
              <w:jc w:val="center"/>
              <w:rPr>
                <w:szCs w:val="21"/>
              </w:rPr>
            </w:pPr>
            <w:r>
              <w:rPr>
                <w:szCs w:val="21"/>
              </w:rPr>
              <w:t>证书编号</w:t>
            </w:r>
          </w:p>
        </w:tc>
        <w:tc>
          <w:tcPr>
            <w:tcW w:w="2977" w:type="dxa"/>
            <w:gridSpan w:val="4"/>
            <w:vAlign w:val="center"/>
          </w:tcPr>
          <w:p>
            <w:pPr>
              <w:spacing w:line="360" w:lineRule="auto"/>
              <w:jc w:val="center"/>
              <w:rPr>
                <w:szCs w:val="21"/>
              </w:rPr>
            </w:pPr>
          </w:p>
        </w:tc>
        <w:tc>
          <w:tcPr>
            <w:tcW w:w="2126" w:type="dxa"/>
            <w:gridSpan w:val="2"/>
            <w:vAlign w:val="center"/>
          </w:tcPr>
          <w:p>
            <w:pPr>
              <w:spacing w:line="360" w:lineRule="auto"/>
              <w:jc w:val="center"/>
              <w:rPr>
                <w:szCs w:val="21"/>
              </w:rPr>
            </w:pPr>
            <w:r>
              <w:rPr>
                <w:szCs w:val="21"/>
              </w:rPr>
              <w:t>校准日期</w:t>
            </w:r>
          </w:p>
        </w:tc>
        <w:tc>
          <w:tcPr>
            <w:tcW w:w="2155" w:type="dxa"/>
            <w:gridSpan w:val="3"/>
            <w:vAlign w:val="center"/>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01" w:type="dxa"/>
            <w:vAlign w:val="center"/>
          </w:tcPr>
          <w:p>
            <w:pPr>
              <w:spacing w:line="360" w:lineRule="auto"/>
              <w:jc w:val="center"/>
              <w:rPr>
                <w:szCs w:val="21"/>
              </w:rPr>
            </w:pPr>
            <w:r>
              <w:rPr>
                <w:szCs w:val="21"/>
              </w:rPr>
              <w:t>校准员</w:t>
            </w:r>
          </w:p>
        </w:tc>
        <w:tc>
          <w:tcPr>
            <w:tcW w:w="2977" w:type="dxa"/>
            <w:gridSpan w:val="4"/>
            <w:vAlign w:val="center"/>
          </w:tcPr>
          <w:p>
            <w:pPr>
              <w:spacing w:line="360" w:lineRule="auto"/>
              <w:jc w:val="center"/>
              <w:rPr>
                <w:szCs w:val="21"/>
              </w:rPr>
            </w:pPr>
          </w:p>
        </w:tc>
        <w:tc>
          <w:tcPr>
            <w:tcW w:w="2126" w:type="dxa"/>
            <w:gridSpan w:val="2"/>
            <w:vAlign w:val="center"/>
          </w:tcPr>
          <w:p>
            <w:pPr>
              <w:spacing w:line="360" w:lineRule="auto"/>
              <w:jc w:val="center"/>
              <w:rPr>
                <w:szCs w:val="21"/>
              </w:rPr>
            </w:pPr>
            <w:r>
              <w:rPr>
                <w:szCs w:val="21"/>
              </w:rPr>
              <w:t>核验员</w:t>
            </w:r>
          </w:p>
        </w:tc>
        <w:tc>
          <w:tcPr>
            <w:tcW w:w="2155" w:type="dxa"/>
            <w:gridSpan w:val="3"/>
            <w:vAlign w:val="center"/>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701" w:type="dxa"/>
            <w:vAlign w:val="center"/>
          </w:tcPr>
          <w:p>
            <w:pPr>
              <w:spacing w:line="360" w:lineRule="auto"/>
              <w:jc w:val="center"/>
              <w:rPr>
                <w:szCs w:val="21"/>
              </w:rPr>
            </w:pPr>
            <w:r>
              <w:rPr>
                <w:szCs w:val="21"/>
              </w:rPr>
              <w:t>校准地点</w:t>
            </w:r>
          </w:p>
        </w:tc>
        <w:tc>
          <w:tcPr>
            <w:tcW w:w="7258" w:type="dxa"/>
            <w:gridSpan w:val="9"/>
            <w:vAlign w:val="center"/>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1701" w:type="dxa"/>
            <w:vMerge w:val="restart"/>
            <w:vAlign w:val="center"/>
          </w:tcPr>
          <w:p>
            <w:pPr>
              <w:spacing w:line="360" w:lineRule="auto"/>
              <w:jc w:val="center"/>
              <w:rPr>
                <w:szCs w:val="21"/>
              </w:rPr>
            </w:pPr>
            <w:r>
              <w:rPr>
                <w:szCs w:val="21"/>
              </w:rPr>
              <w:t>主要计量标准器</w:t>
            </w:r>
          </w:p>
        </w:tc>
        <w:tc>
          <w:tcPr>
            <w:tcW w:w="1134" w:type="dxa"/>
            <w:vAlign w:val="center"/>
          </w:tcPr>
          <w:p>
            <w:pPr>
              <w:spacing w:line="360" w:lineRule="auto"/>
              <w:jc w:val="center"/>
              <w:rPr>
                <w:szCs w:val="21"/>
              </w:rPr>
            </w:pPr>
            <w:r>
              <w:rPr>
                <w:szCs w:val="21"/>
              </w:rPr>
              <w:t>仪器名称</w:t>
            </w:r>
          </w:p>
        </w:tc>
        <w:tc>
          <w:tcPr>
            <w:tcW w:w="709" w:type="dxa"/>
            <w:vAlign w:val="center"/>
          </w:tcPr>
          <w:p>
            <w:pPr>
              <w:spacing w:line="360" w:lineRule="auto"/>
              <w:jc w:val="center"/>
              <w:rPr>
                <w:szCs w:val="21"/>
              </w:rPr>
            </w:pPr>
            <w:r>
              <w:rPr>
                <w:szCs w:val="21"/>
              </w:rPr>
              <w:t>规格型号</w:t>
            </w:r>
          </w:p>
        </w:tc>
        <w:tc>
          <w:tcPr>
            <w:tcW w:w="709" w:type="dxa"/>
            <w:vAlign w:val="center"/>
          </w:tcPr>
          <w:p>
            <w:pPr>
              <w:spacing w:line="360" w:lineRule="auto"/>
              <w:jc w:val="center"/>
              <w:rPr>
                <w:szCs w:val="21"/>
              </w:rPr>
            </w:pPr>
            <w:r>
              <w:rPr>
                <w:szCs w:val="21"/>
              </w:rPr>
              <w:t>出厂编号</w:t>
            </w:r>
          </w:p>
        </w:tc>
        <w:tc>
          <w:tcPr>
            <w:tcW w:w="1984" w:type="dxa"/>
            <w:gridSpan w:val="2"/>
            <w:vAlign w:val="center"/>
          </w:tcPr>
          <w:p>
            <w:pPr>
              <w:spacing w:line="360" w:lineRule="auto"/>
              <w:jc w:val="center"/>
              <w:rPr>
                <w:szCs w:val="21"/>
              </w:rPr>
            </w:pPr>
            <w:r>
              <w:rPr>
                <w:szCs w:val="21"/>
              </w:rPr>
              <w:t>不确定度/不确定度等级/最大允许误差</w:t>
            </w:r>
          </w:p>
        </w:tc>
        <w:tc>
          <w:tcPr>
            <w:tcW w:w="1276" w:type="dxa"/>
            <w:gridSpan w:val="2"/>
            <w:vAlign w:val="center"/>
          </w:tcPr>
          <w:p>
            <w:pPr>
              <w:spacing w:line="360" w:lineRule="auto"/>
              <w:jc w:val="center"/>
              <w:rPr>
                <w:szCs w:val="21"/>
              </w:rPr>
            </w:pPr>
            <w:r>
              <w:rPr>
                <w:szCs w:val="21"/>
              </w:rPr>
              <w:t>溯源证书 编号</w:t>
            </w:r>
          </w:p>
        </w:tc>
        <w:tc>
          <w:tcPr>
            <w:tcW w:w="709" w:type="dxa"/>
            <w:vAlign w:val="center"/>
          </w:tcPr>
          <w:p>
            <w:pPr>
              <w:spacing w:line="360" w:lineRule="auto"/>
              <w:jc w:val="center"/>
              <w:rPr>
                <w:szCs w:val="21"/>
              </w:rPr>
            </w:pPr>
            <w:r>
              <w:rPr>
                <w:szCs w:val="21"/>
              </w:rPr>
              <w:t>溯源机构</w:t>
            </w:r>
          </w:p>
        </w:tc>
        <w:tc>
          <w:tcPr>
            <w:tcW w:w="737" w:type="dxa"/>
            <w:vAlign w:val="center"/>
          </w:tcPr>
          <w:p>
            <w:pPr>
              <w:spacing w:line="360" w:lineRule="auto"/>
              <w:jc w:val="center"/>
              <w:rPr>
                <w:szCs w:val="21"/>
              </w:rPr>
            </w:pPr>
            <w:r>
              <w:rPr>
                <w:szCs w:val="21"/>
              </w:rPr>
              <w:t>有效日期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1701" w:type="dxa"/>
            <w:vMerge w:val="continue"/>
            <w:vAlign w:val="center"/>
          </w:tcPr>
          <w:p>
            <w:pPr>
              <w:spacing w:line="360" w:lineRule="auto"/>
              <w:jc w:val="center"/>
              <w:rPr>
                <w:szCs w:val="21"/>
              </w:rPr>
            </w:pPr>
          </w:p>
        </w:tc>
        <w:tc>
          <w:tcPr>
            <w:tcW w:w="1134" w:type="dxa"/>
            <w:vAlign w:val="center"/>
          </w:tcPr>
          <w:p>
            <w:pPr>
              <w:spacing w:line="360" w:lineRule="auto"/>
              <w:jc w:val="center"/>
              <w:rPr>
                <w:szCs w:val="21"/>
              </w:rPr>
            </w:pPr>
          </w:p>
        </w:tc>
        <w:tc>
          <w:tcPr>
            <w:tcW w:w="709" w:type="dxa"/>
            <w:vAlign w:val="center"/>
          </w:tcPr>
          <w:p>
            <w:pPr>
              <w:spacing w:line="360" w:lineRule="auto"/>
              <w:jc w:val="center"/>
              <w:rPr>
                <w:szCs w:val="21"/>
              </w:rPr>
            </w:pPr>
          </w:p>
        </w:tc>
        <w:tc>
          <w:tcPr>
            <w:tcW w:w="709" w:type="dxa"/>
            <w:vAlign w:val="center"/>
          </w:tcPr>
          <w:p>
            <w:pPr>
              <w:spacing w:line="360" w:lineRule="auto"/>
              <w:jc w:val="center"/>
              <w:rPr>
                <w:szCs w:val="21"/>
              </w:rPr>
            </w:pPr>
          </w:p>
        </w:tc>
        <w:tc>
          <w:tcPr>
            <w:tcW w:w="1984" w:type="dxa"/>
            <w:gridSpan w:val="2"/>
            <w:vAlign w:val="center"/>
          </w:tcPr>
          <w:p>
            <w:pPr>
              <w:spacing w:line="360" w:lineRule="auto"/>
              <w:jc w:val="center"/>
              <w:rPr>
                <w:szCs w:val="21"/>
              </w:rPr>
            </w:pPr>
          </w:p>
        </w:tc>
        <w:tc>
          <w:tcPr>
            <w:tcW w:w="1276" w:type="dxa"/>
            <w:gridSpan w:val="2"/>
            <w:vAlign w:val="center"/>
          </w:tcPr>
          <w:p>
            <w:pPr>
              <w:spacing w:line="360" w:lineRule="auto"/>
              <w:jc w:val="center"/>
              <w:rPr>
                <w:szCs w:val="21"/>
              </w:rPr>
            </w:pPr>
          </w:p>
        </w:tc>
        <w:tc>
          <w:tcPr>
            <w:tcW w:w="709" w:type="dxa"/>
            <w:vAlign w:val="center"/>
          </w:tcPr>
          <w:p>
            <w:pPr>
              <w:spacing w:line="360" w:lineRule="auto"/>
              <w:jc w:val="center"/>
              <w:rPr>
                <w:szCs w:val="21"/>
              </w:rPr>
            </w:pPr>
          </w:p>
        </w:tc>
        <w:tc>
          <w:tcPr>
            <w:tcW w:w="737" w:type="dxa"/>
            <w:vAlign w:val="center"/>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1701" w:type="dxa"/>
            <w:vMerge w:val="continue"/>
            <w:vAlign w:val="center"/>
          </w:tcPr>
          <w:p>
            <w:pPr>
              <w:spacing w:line="360" w:lineRule="auto"/>
              <w:jc w:val="center"/>
              <w:rPr>
                <w:szCs w:val="21"/>
              </w:rPr>
            </w:pPr>
          </w:p>
        </w:tc>
        <w:tc>
          <w:tcPr>
            <w:tcW w:w="1134" w:type="dxa"/>
            <w:vAlign w:val="center"/>
          </w:tcPr>
          <w:p>
            <w:pPr>
              <w:spacing w:line="360" w:lineRule="auto"/>
              <w:jc w:val="center"/>
              <w:rPr>
                <w:szCs w:val="21"/>
              </w:rPr>
            </w:pPr>
          </w:p>
        </w:tc>
        <w:tc>
          <w:tcPr>
            <w:tcW w:w="709" w:type="dxa"/>
            <w:vAlign w:val="center"/>
          </w:tcPr>
          <w:p>
            <w:pPr>
              <w:spacing w:line="360" w:lineRule="auto"/>
              <w:jc w:val="center"/>
              <w:rPr>
                <w:szCs w:val="21"/>
              </w:rPr>
            </w:pPr>
          </w:p>
        </w:tc>
        <w:tc>
          <w:tcPr>
            <w:tcW w:w="709" w:type="dxa"/>
            <w:vAlign w:val="center"/>
          </w:tcPr>
          <w:p>
            <w:pPr>
              <w:spacing w:line="360" w:lineRule="auto"/>
              <w:jc w:val="center"/>
              <w:rPr>
                <w:szCs w:val="21"/>
              </w:rPr>
            </w:pPr>
          </w:p>
        </w:tc>
        <w:tc>
          <w:tcPr>
            <w:tcW w:w="1984" w:type="dxa"/>
            <w:gridSpan w:val="2"/>
            <w:vAlign w:val="center"/>
          </w:tcPr>
          <w:p>
            <w:pPr>
              <w:spacing w:line="360" w:lineRule="auto"/>
              <w:jc w:val="center"/>
              <w:rPr>
                <w:szCs w:val="21"/>
              </w:rPr>
            </w:pPr>
          </w:p>
        </w:tc>
        <w:tc>
          <w:tcPr>
            <w:tcW w:w="1276" w:type="dxa"/>
            <w:gridSpan w:val="2"/>
            <w:vAlign w:val="center"/>
          </w:tcPr>
          <w:p>
            <w:pPr>
              <w:spacing w:line="360" w:lineRule="auto"/>
              <w:jc w:val="center"/>
              <w:rPr>
                <w:szCs w:val="21"/>
              </w:rPr>
            </w:pPr>
          </w:p>
        </w:tc>
        <w:tc>
          <w:tcPr>
            <w:tcW w:w="709" w:type="dxa"/>
            <w:vAlign w:val="center"/>
          </w:tcPr>
          <w:p>
            <w:pPr>
              <w:spacing w:line="360" w:lineRule="auto"/>
              <w:jc w:val="center"/>
              <w:rPr>
                <w:szCs w:val="21"/>
              </w:rPr>
            </w:pPr>
          </w:p>
        </w:tc>
        <w:tc>
          <w:tcPr>
            <w:tcW w:w="737" w:type="dxa"/>
            <w:vAlign w:val="center"/>
          </w:tcPr>
          <w:p>
            <w:pPr>
              <w:spacing w:line="360" w:lineRule="auto"/>
              <w:jc w:val="center"/>
              <w:rPr>
                <w:szCs w:val="21"/>
              </w:rPr>
            </w:pPr>
          </w:p>
        </w:tc>
      </w:tr>
    </w:tbl>
    <w:p>
      <w:pPr>
        <w:pStyle w:val="49"/>
        <w:numPr>
          <w:ilvl w:val="0"/>
          <w:numId w:val="5"/>
        </w:numPr>
        <w:tabs>
          <w:tab w:val="right" w:pos="9360"/>
          <w:tab w:val="right" w:pos="9450"/>
          <w:tab w:val="right" w:leader="dot" w:pos="11340"/>
          <w:tab w:val="right" w:pos="14742"/>
        </w:tabs>
        <w:autoSpaceDE w:val="0"/>
        <w:autoSpaceDN w:val="0"/>
        <w:adjustRightInd w:val="0"/>
        <w:spacing w:before="120" w:beforeLines="50" w:line="360" w:lineRule="auto"/>
        <w:ind w:left="777" w:hanging="357" w:firstLineChars="0"/>
        <w:jc w:val="left"/>
        <w:rPr>
          <w:rFonts w:ascii="Times New Roman" w:hAnsi="Times New Roman" w:eastAsia="黑体"/>
          <w:szCs w:val="21"/>
        </w:rPr>
      </w:pPr>
      <w:r>
        <w:rPr>
          <w:rFonts w:ascii="Times New Roman" w:hAnsi="Times New Roman" w:eastAsia="黑体"/>
          <w:szCs w:val="21"/>
        </w:rPr>
        <w:t>温度校准</w:t>
      </w:r>
    </w:p>
    <w:p>
      <w:pPr>
        <w:ind w:right="420" w:firstLine="420" w:firstLineChars="200"/>
        <w:jc w:val="right"/>
        <w:rPr>
          <w:szCs w:val="21"/>
        </w:rPr>
      </w:pPr>
      <w:r>
        <w:rPr>
          <w:szCs w:val="21"/>
        </w:rPr>
        <w:t>温度设定：     ℃                                               单位：℃</w:t>
      </w:r>
    </w:p>
    <w:tbl>
      <w:tblPr>
        <w:tblStyle w:val="21"/>
        <w:tblW w:w="8976" w:type="dxa"/>
        <w:tblInd w:w="108" w:type="dxa"/>
        <w:tblLayout w:type="autofit"/>
        <w:tblCellMar>
          <w:top w:w="0" w:type="dxa"/>
          <w:left w:w="108" w:type="dxa"/>
          <w:bottom w:w="0" w:type="dxa"/>
          <w:right w:w="108" w:type="dxa"/>
        </w:tblCellMar>
      </w:tblPr>
      <w:tblGrid>
        <w:gridCol w:w="1276"/>
        <w:gridCol w:w="1021"/>
        <w:gridCol w:w="1025"/>
        <w:gridCol w:w="1021"/>
        <w:gridCol w:w="1021"/>
        <w:gridCol w:w="1021"/>
        <w:gridCol w:w="1133"/>
        <w:gridCol w:w="1458"/>
      </w:tblGrid>
      <w:tr>
        <w:tblPrEx>
          <w:tblCellMar>
            <w:top w:w="0" w:type="dxa"/>
            <w:left w:w="108" w:type="dxa"/>
            <w:bottom w:w="0" w:type="dxa"/>
            <w:right w:w="108" w:type="dxa"/>
          </w:tblCellMar>
        </w:tblPrEx>
        <w:trPr>
          <w:trHeight w:val="117" w:hRule="atLeast"/>
        </w:trPr>
        <w:tc>
          <w:tcPr>
            <w:tcW w:w="1276" w:type="dxa"/>
            <w:vMerge w:val="restart"/>
            <w:tcBorders>
              <w:top w:val="single" w:color="auto" w:sz="4" w:space="0"/>
              <w:left w:val="single" w:color="auto" w:sz="4" w:space="0"/>
              <w:right w:val="single" w:color="auto" w:sz="4" w:space="0"/>
            </w:tcBorders>
            <w:shd w:val="clear" w:color="auto" w:fill="auto"/>
            <w:noWrap/>
            <w:vAlign w:val="center"/>
          </w:tcPr>
          <w:p>
            <w:pPr>
              <w:jc w:val="center"/>
              <w:rPr>
                <w:kern w:val="0"/>
                <w:szCs w:val="21"/>
              </w:rPr>
            </w:pPr>
            <w:r>
              <w:rPr>
                <w:kern w:val="0"/>
                <w:szCs w:val="21"/>
              </w:rPr>
              <w:t>次数</w:t>
            </w:r>
          </w:p>
        </w:tc>
        <w:tc>
          <w:tcPr>
            <w:tcW w:w="6242" w:type="dxa"/>
            <w:gridSpan w:val="6"/>
            <w:tcBorders>
              <w:top w:val="single" w:color="auto" w:sz="4" w:space="0"/>
              <w:left w:val="nil"/>
              <w:bottom w:val="single" w:color="auto" w:sz="4" w:space="0"/>
              <w:right w:val="single" w:color="auto" w:sz="4" w:space="0"/>
            </w:tcBorders>
            <w:shd w:val="clear" w:color="auto" w:fill="auto"/>
            <w:noWrap/>
            <w:vAlign w:val="bottom"/>
          </w:tcPr>
          <w:p>
            <w:pPr>
              <w:jc w:val="center"/>
              <w:rPr>
                <w:kern w:val="0"/>
                <w:szCs w:val="21"/>
              </w:rPr>
            </w:pPr>
            <w:r>
              <w:rPr>
                <w:kern w:val="0"/>
                <w:szCs w:val="21"/>
              </w:rPr>
              <w:t>实测温度值</w:t>
            </w:r>
          </w:p>
        </w:tc>
        <w:tc>
          <w:tcPr>
            <w:tcW w:w="1458" w:type="dxa"/>
            <w:vMerge w:val="restart"/>
            <w:tcBorders>
              <w:top w:val="single" w:color="auto" w:sz="4" w:space="0"/>
              <w:left w:val="nil"/>
              <w:right w:val="single" w:color="auto" w:sz="4" w:space="0"/>
            </w:tcBorders>
            <w:shd w:val="clear" w:color="auto" w:fill="auto"/>
            <w:noWrap/>
            <w:vAlign w:val="center"/>
          </w:tcPr>
          <w:p>
            <w:pPr>
              <w:jc w:val="center"/>
              <w:rPr>
                <w:kern w:val="0"/>
                <w:szCs w:val="21"/>
              </w:rPr>
            </w:pPr>
            <m:oMathPara>
              <m:oMath>
                <m:sSub>
                  <m:sSubPr>
                    <m:ctrlPr>
                      <w:rPr>
                        <w:rFonts w:ascii="Cambria Math" w:hAnsi="Cambria Math"/>
                        <w:i/>
                        <w:szCs w:val="21"/>
                      </w:rPr>
                    </m:ctrlPr>
                  </m:sSubPr>
                  <m:e>
                    <m:r>
                      <m:rPr/>
                      <w:rPr>
                        <w:rFonts w:ascii="Cambria Math" w:hAnsi="Cambria Math"/>
                        <w:szCs w:val="21"/>
                      </w:rPr>
                      <m:t>t</m:t>
                    </m:r>
                    <m:ctrlPr>
                      <w:rPr>
                        <w:rFonts w:ascii="Cambria Math" w:hAnsi="Cambria Math"/>
                        <w:i/>
                        <w:szCs w:val="21"/>
                      </w:rPr>
                    </m:ctrlPr>
                  </m:e>
                  <m:sub>
                    <m:r>
                      <m:rPr/>
                      <w:rPr>
                        <w:rFonts w:ascii="Cambria Math" w:hAnsi="Cambria Math"/>
                        <w:szCs w:val="21"/>
                      </w:rPr>
                      <m:t>imax</m:t>
                    </m:r>
                    <m:ctrlPr>
                      <w:rPr>
                        <w:rFonts w:ascii="Cambria Math" w:hAnsi="Cambria Math"/>
                        <w:i/>
                        <w:szCs w:val="21"/>
                      </w:rPr>
                    </m:ctrlPr>
                  </m:sub>
                </m:sSub>
                <m:r>
                  <m:rPr/>
                  <w:rPr>
                    <w:rFonts w:ascii="Cambria Math" w:hAnsi="Cambria Math"/>
                    <w:szCs w:val="21"/>
                  </w:rPr>
                  <m:t>−</m:t>
                </m:r>
                <m:sSub>
                  <m:sSubPr>
                    <m:ctrlPr>
                      <w:rPr>
                        <w:rFonts w:ascii="Cambria Math" w:hAnsi="Cambria Math"/>
                        <w:i/>
                        <w:szCs w:val="21"/>
                      </w:rPr>
                    </m:ctrlPr>
                  </m:sSubPr>
                  <m:e>
                    <m:r>
                      <m:rPr/>
                      <w:rPr>
                        <w:rFonts w:ascii="Cambria Math" w:hAnsi="Cambria Math"/>
                        <w:szCs w:val="21"/>
                      </w:rPr>
                      <m:t>t</m:t>
                    </m:r>
                    <m:ctrlPr>
                      <w:rPr>
                        <w:rFonts w:ascii="Cambria Math" w:hAnsi="Cambria Math"/>
                        <w:i/>
                        <w:szCs w:val="21"/>
                      </w:rPr>
                    </m:ctrlPr>
                  </m:e>
                  <m:sub>
                    <m:r>
                      <m:rPr/>
                      <w:rPr>
                        <w:rFonts w:ascii="Cambria Math" w:hAnsi="Cambria Math"/>
                        <w:szCs w:val="21"/>
                      </w:rPr>
                      <m:t>imin</m:t>
                    </m:r>
                    <m:ctrlPr>
                      <w:rPr>
                        <w:rFonts w:ascii="Cambria Math" w:hAnsi="Cambria Math"/>
                        <w:i/>
                        <w:szCs w:val="21"/>
                      </w:rPr>
                    </m:ctrlPr>
                  </m:sub>
                </m:sSub>
              </m:oMath>
            </m:oMathPara>
          </w:p>
        </w:tc>
      </w:tr>
      <w:tr>
        <w:tblPrEx>
          <w:tblCellMar>
            <w:top w:w="0" w:type="dxa"/>
            <w:left w:w="108" w:type="dxa"/>
            <w:bottom w:w="0" w:type="dxa"/>
            <w:right w:w="108" w:type="dxa"/>
          </w:tblCellMar>
        </w:tblPrEx>
        <w:trPr>
          <w:trHeight w:val="178" w:hRule="atLeast"/>
        </w:trPr>
        <w:tc>
          <w:tcPr>
            <w:tcW w:w="1276" w:type="dxa"/>
            <w:vMerge w:val="continue"/>
            <w:tcBorders>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bottom"/>
          </w:tcPr>
          <w:p>
            <w:pPr>
              <w:jc w:val="center"/>
              <w:rPr>
                <w:kern w:val="0"/>
                <w:szCs w:val="21"/>
              </w:rPr>
            </w:pPr>
            <w:r>
              <w:rPr>
                <w:kern w:val="0"/>
                <w:szCs w:val="21"/>
              </w:rPr>
              <w:t>1</w:t>
            </w:r>
          </w:p>
        </w:tc>
        <w:tc>
          <w:tcPr>
            <w:tcW w:w="1025"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r>
              <w:rPr>
                <w:kern w:val="0"/>
                <w:szCs w:val="21"/>
              </w:rPr>
              <w:t>2</w:t>
            </w: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r>
              <w:rPr>
                <w:kern w:val="0"/>
                <w:szCs w:val="21"/>
              </w:rPr>
              <w:t>3</w:t>
            </w: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r>
              <w:rPr>
                <w:kern w:val="0"/>
                <w:szCs w:val="21"/>
              </w:rPr>
              <w:t>4</w:t>
            </w: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r>
              <w:rPr>
                <w:kern w:val="0"/>
                <w:szCs w:val="21"/>
              </w:rPr>
              <w:t>5</w:t>
            </w:r>
          </w:p>
        </w:tc>
        <w:tc>
          <w:tcPr>
            <w:tcW w:w="1133"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r>
              <w:rPr>
                <w:kern w:val="0"/>
                <w:szCs w:val="21"/>
              </w:rPr>
              <w:t>6</w:t>
            </w:r>
          </w:p>
        </w:tc>
        <w:tc>
          <w:tcPr>
            <w:tcW w:w="1458" w:type="dxa"/>
            <w:vMerge w:val="continue"/>
            <w:tcBorders>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182"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r>
              <w:rPr>
                <w:kern w:val="0"/>
                <w:szCs w:val="21"/>
              </w:rPr>
              <w:t>1</w:t>
            </w:r>
          </w:p>
        </w:tc>
        <w:tc>
          <w:tcPr>
            <w:tcW w:w="1021" w:type="dxa"/>
            <w:tcBorders>
              <w:top w:val="single" w:color="auto" w:sz="4" w:space="0"/>
              <w:left w:val="nil"/>
              <w:bottom w:val="single" w:color="auto" w:sz="4" w:space="0"/>
              <w:right w:val="single" w:color="auto" w:sz="4" w:space="0"/>
            </w:tcBorders>
            <w:shd w:val="clear" w:color="auto" w:fill="auto"/>
            <w:noWrap/>
            <w:vAlign w:val="bottom"/>
          </w:tcPr>
          <w:p>
            <w:pPr>
              <w:jc w:val="center"/>
              <w:rPr>
                <w:kern w:val="0"/>
                <w:szCs w:val="21"/>
              </w:rPr>
            </w:pPr>
          </w:p>
        </w:tc>
        <w:tc>
          <w:tcPr>
            <w:tcW w:w="1025"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133"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458"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182"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r>
              <w:rPr>
                <w:kern w:val="0"/>
                <w:szCs w:val="21"/>
              </w:rPr>
              <w:t>2</w:t>
            </w:r>
          </w:p>
        </w:tc>
        <w:tc>
          <w:tcPr>
            <w:tcW w:w="1021" w:type="dxa"/>
            <w:tcBorders>
              <w:top w:val="single" w:color="auto" w:sz="4" w:space="0"/>
              <w:left w:val="nil"/>
              <w:bottom w:val="single" w:color="auto" w:sz="4" w:space="0"/>
              <w:right w:val="single" w:color="auto" w:sz="4" w:space="0"/>
            </w:tcBorders>
            <w:shd w:val="clear" w:color="auto" w:fill="auto"/>
            <w:noWrap/>
            <w:vAlign w:val="bottom"/>
          </w:tcPr>
          <w:p>
            <w:pPr>
              <w:jc w:val="center"/>
              <w:rPr>
                <w:kern w:val="0"/>
                <w:szCs w:val="21"/>
              </w:rPr>
            </w:pPr>
          </w:p>
        </w:tc>
        <w:tc>
          <w:tcPr>
            <w:tcW w:w="1025"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133"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458"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182"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r>
              <w:rPr>
                <w:kern w:val="0"/>
                <w:szCs w:val="21"/>
              </w:rPr>
              <w:t>3</w:t>
            </w:r>
          </w:p>
        </w:tc>
        <w:tc>
          <w:tcPr>
            <w:tcW w:w="1021" w:type="dxa"/>
            <w:tcBorders>
              <w:top w:val="single" w:color="auto" w:sz="4" w:space="0"/>
              <w:left w:val="nil"/>
              <w:bottom w:val="single" w:color="auto" w:sz="4" w:space="0"/>
              <w:right w:val="single" w:color="auto" w:sz="4" w:space="0"/>
            </w:tcBorders>
            <w:shd w:val="clear" w:color="auto" w:fill="auto"/>
            <w:noWrap/>
            <w:vAlign w:val="bottom"/>
          </w:tcPr>
          <w:p>
            <w:pPr>
              <w:jc w:val="center"/>
              <w:rPr>
                <w:kern w:val="0"/>
                <w:szCs w:val="21"/>
              </w:rPr>
            </w:pPr>
          </w:p>
        </w:tc>
        <w:tc>
          <w:tcPr>
            <w:tcW w:w="1025"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133"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458"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182"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r>
              <w:rPr>
                <w:kern w:val="0"/>
                <w:szCs w:val="21"/>
              </w:rPr>
              <w:t>4</w:t>
            </w:r>
          </w:p>
        </w:tc>
        <w:tc>
          <w:tcPr>
            <w:tcW w:w="1021" w:type="dxa"/>
            <w:tcBorders>
              <w:top w:val="single" w:color="auto" w:sz="4" w:space="0"/>
              <w:left w:val="nil"/>
              <w:bottom w:val="single" w:color="auto" w:sz="4" w:space="0"/>
              <w:right w:val="single" w:color="auto" w:sz="4" w:space="0"/>
            </w:tcBorders>
            <w:shd w:val="clear" w:color="auto" w:fill="auto"/>
            <w:noWrap/>
            <w:vAlign w:val="bottom"/>
          </w:tcPr>
          <w:p>
            <w:pPr>
              <w:jc w:val="center"/>
              <w:rPr>
                <w:kern w:val="0"/>
                <w:szCs w:val="21"/>
              </w:rPr>
            </w:pPr>
          </w:p>
        </w:tc>
        <w:tc>
          <w:tcPr>
            <w:tcW w:w="1025"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133"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458"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182"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r>
              <w:rPr>
                <w:kern w:val="0"/>
                <w:szCs w:val="21"/>
              </w:rPr>
              <w:t>5</w:t>
            </w:r>
          </w:p>
        </w:tc>
        <w:tc>
          <w:tcPr>
            <w:tcW w:w="1021" w:type="dxa"/>
            <w:tcBorders>
              <w:top w:val="single" w:color="auto" w:sz="4" w:space="0"/>
              <w:left w:val="nil"/>
              <w:bottom w:val="single" w:color="auto" w:sz="4" w:space="0"/>
              <w:right w:val="single" w:color="auto" w:sz="4" w:space="0"/>
            </w:tcBorders>
            <w:shd w:val="clear" w:color="auto" w:fill="auto"/>
            <w:noWrap/>
            <w:vAlign w:val="bottom"/>
          </w:tcPr>
          <w:p>
            <w:pPr>
              <w:jc w:val="center"/>
              <w:rPr>
                <w:kern w:val="0"/>
                <w:szCs w:val="21"/>
              </w:rPr>
            </w:pPr>
          </w:p>
        </w:tc>
        <w:tc>
          <w:tcPr>
            <w:tcW w:w="1025"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133"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458"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182"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r>
              <w:rPr>
                <w:kern w:val="0"/>
                <w:szCs w:val="21"/>
              </w:rPr>
              <w:t>6</w:t>
            </w:r>
          </w:p>
        </w:tc>
        <w:tc>
          <w:tcPr>
            <w:tcW w:w="1021" w:type="dxa"/>
            <w:tcBorders>
              <w:top w:val="single" w:color="auto" w:sz="4" w:space="0"/>
              <w:left w:val="nil"/>
              <w:bottom w:val="single" w:color="auto" w:sz="4" w:space="0"/>
              <w:right w:val="single" w:color="auto" w:sz="4" w:space="0"/>
            </w:tcBorders>
            <w:shd w:val="clear" w:color="auto" w:fill="auto"/>
            <w:noWrap/>
            <w:vAlign w:val="bottom"/>
          </w:tcPr>
          <w:p>
            <w:pPr>
              <w:jc w:val="center"/>
              <w:rPr>
                <w:kern w:val="0"/>
                <w:szCs w:val="21"/>
              </w:rPr>
            </w:pPr>
          </w:p>
        </w:tc>
        <w:tc>
          <w:tcPr>
            <w:tcW w:w="1025"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133"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458"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182"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r>
              <w:rPr>
                <w:kern w:val="0"/>
                <w:szCs w:val="21"/>
              </w:rPr>
              <w:t>7</w:t>
            </w:r>
          </w:p>
        </w:tc>
        <w:tc>
          <w:tcPr>
            <w:tcW w:w="1021" w:type="dxa"/>
            <w:tcBorders>
              <w:top w:val="single" w:color="auto" w:sz="4" w:space="0"/>
              <w:left w:val="nil"/>
              <w:bottom w:val="single" w:color="auto" w:sz="4" w:space="0"/>
              <w:right w:val="single" w:color="auto" w:sz="4" w:space="0"/>
            </w:tcBorders>
            <w:shd w:val="clear" w:color="auto" w:fill="auto"/>
            <w:noWrap/>
            <w:vAlign w:val="bottom"/>
          </w:tcPr>
          <w:p>
            <w:pPr>
              <w:jc w:val="center"/>
              <w:rPr>
                <w:kern w:val="0"/>
                <w:szCs w:val="21"/>
              </w:rPr>
            </w:pPr>
          </w:p>
        </w:tc>
        <w:tc>
          <w:tcPr>
            <w:tcW w:w="1025"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133"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458"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182"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r>
              <w:rPr>
                <w:kern w:val="0"/>
                <w:szCs w:val="21"/>
              </w:rPr>
              <w:t>8</w:t>
            </w:r>
          </w:p>
        </w:tc>
        <w:tc>
          <w:tcPr>
            <w:tcW w:w="1021" w:type="dxa"/>
            <w:tcBorders>
              <w:top w:val="single" w:color="auto" w:sz="4" w:space="0"/>
              <w:left w:val="nil"/>
              <w:bottom w:val="single" w:color="auto" w:sz="4" w:space="0"/>
              <w:right w:val="single" w:color="auto" w:sz="4" w:space="0"/>
            </w:tcBorders>
            <w:shd w:val="clear" w:color="auto" w:fill="auto"/>
            <w:noWrap/>
            <w:vAlign w:val="bottom"/>
          </w:tcPr>
          <w:p>
            <w:pPr>
              <w:jc w:val="center"/>
              <w:rPr>
                <w:kern w:val="0"/>
                <w:szCs w:val="21"/>
              </w:rPr>
            </w:pPr>
          </w:p>
        </w:tc>
        <w:tc>
          <w:tcPr>
            <w:tcW w:w="1025"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133"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458"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182"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r>
              <w:rPr>
                <w:kern w:val="0"/>
                <w:szCs w:val="21"/>
              </w:rPr>
              <w:t>9</w:t>
            </w:r>
          </w:p>
        </w:tc>
        <w:tc>
          <w:tcPr>
            <w:tcW w:w="1021" w:type="dxa"/>
            <w:tcBorders>
              <w:top w:val="single" w:color="auto" w:sz="4" w:space="0"/>
              <w:left w:val="nil"/>
              <w:bottom w:val="single" w:color="auto" w:sz="4" w:space="0"/>
              <w:right w:val="single" w:color="auto" w:sz="4" w:space="0"/>
            </w:tcBorders>
            <w:shd w:val="clear" w:color="auto" w:fill="auto"/>
            <w:noWrap/>
            <w:vAlign w:val="bottom"/>
          </w:tcPr>
          <w:p>
            <w:pPr>
              <w:jc w:val="center"/>
              <w:rPr>
                <w:kern w:val="0"/>
                <w:szCs w:val="21"/>
              </w:rPr>
            </w:pPr>
          </w:p>
        </w:tc>
        <w:tc>
          <w:tcPr>
            <w:tcW w:w="1025"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133"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458"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182"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r>
              <w:rPr>
                <w:kern w:val="0"/>
                <w:szCs w:val="21"/>
              </w:rPr>
              <w:t>10</w:t>
            </w:r>
          </w:p>
        </w:tc>
        <w:tc>
          <w:tcPr>
            <w:tcW w:w="1021" w:type="dxa"/>
            <w:tcBorders>
              <w:top w:val="single" w:color="auto" w:sz="4" w:space="0"/>
              <w:left w:val="nil"/>
              <w:bottom w:val="single" w:color="auto" w:sz="4" w:space="0"/>
              <w:right w:val="single" w:color="auto" w:sz="4" w:space="0"/>
            </w:tcBorders>
            <w:shd w:val="clear" w:color="auto" w:fill="auto"/>
            <w:noWrap/>
            <w:vAlign w:val="bottom"/>
          </w:tcPr>
          <w:p>
            <w:pPr>
              <w:jc w:val="center"/>
              <w:rPr>
                <w:kern w:val="0"/>
                <w:szCs w:val="21"/>
              </w:rPr>
            </w:pPr>
          </w:p>
        </w:tc>
        <w:tc>
          <w:tcPr>
            <w:tcW w:w="1025"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133"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458"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182"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r>
              <w:rPr>
                <w:kern w:val="0"/>
                <w:szCs w:val="21"/>
              </w:rPr>
              <w:t>11</w:t>
            </w:r>
          </w:p>
        </w:tc>
        <w:tc>
          <w:tcPr>
            <w:tcW w:w="1021" w:type="dxa"/>
            <w:tcBorders>
              <w:top w:val="single" w:color="auto" w:sz="4" w:space="0"/>
              <w:left w:val="nil"/>
              <w:bottom w:val="single" w:color="auto" w:sz="4" w:space="0"/>
              <w:right w:val="single" w:color="auto" w:sz="4" w:space="0"/>
            </w:tcBorders>
            <w:shd w:val="clear" w:color="auto" w:fill="auto"/>
            <w:noWrap/>
            <w:vAlign w:val="bottom"/>
          </w:tcPr>
          <w:p>
            <w:pPr>
              <w:jc w:val="center"/>
              <w:rPr>
                <w:kern w:val="0"/>
                <w:szCs w:val="21"/>
              </w:rPr>
            </w:pPr>
          </w:p>
        </w:tc>
        <w:tc>
          <w:tcPr>
            <w:tcW w:w="1025"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133"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c>
          <w:tcPr>
            <w:tcW w:w="1458"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650" w:hRule="atLeast"/>
        </w:trPr>
        <w:tc>
          <w:tcPr>
            <w:tcW w:w="1276" w:type="dxa"/>
            <w:tcBorders>
              <w:top w:val="single" w:color="auto" w:sz="4" w:space="0"/>
              <w:left w:val="single" w:color="auto" w:sz="4" w:space="0"/>
              <w:right w:val="single" w:color="auto" w:sz="4" w:space="0"/>
            </w:tcBorders>
            <w:shd w:val="clear" w:color="auto" w:fill="auto"/>
            <w:noWrap/>
            <w:vAlign w:val="center"/>
          </w:tcPr>
          <w:p>
            <w:pPr>
              <w:jc w:val="center"/>
              <w:rPr>
                <w:kern w:val="0"/>
                <w:szCs w:val="21"/>
              </w:rPr>
            </w:pPr>
            <m:oMathPara>
              <m:oMath>
                <m:sSub>
                  <m:sSubPr>
                    <m:ctrlPr>
                      <w:rPr>
                        <w:rFonts w:ascii="Cambria Math" w:hAnsi="Cambria Math"/>
                        <w:i/>
                        <w:szCs w:val="21"/>
                      </w:rPr>
                    </m:ctrlPr>
                  </m:sSubPr>
                  <m:e>
                    <m:r>
                      <m:rPr/>
                      <w:rPr>
                        <w:rFonts w:ascii="Cambria Math" w:hAnsi="Cambria Math"/>
                        <w:szCs w:val="21"/>
                      </w:rPr>
                      <m:t>t</m:t>
                    </m:r>
                    <m:ctrlPr>
                      <w:rPr>
                        <w:rFonts w:ascii="Cambria Math" w:hAnsi="Cambria Math"/>
                        <w:i/>
                        <w:szCs w:val="21"/>
                      </w:rPr>
                    </m:ctrlPr>
                  </m:e>
                  <m:sub>
                    <m:r>
                      <m:rPr/>
                      <w:rPr>
                        <w:rFonts w:ascii="Cambria Math" w:hAnsi="Cambria Math"/>
                        <w:szCs w:val="21"/>
                      </w:rPr>
                      <m:t>jmax</m:t>
                    </m:r>
                    <m:ctrlPr>
                      <w:rPr>
                        <w:rFonts w:ascii="Cambria Math" w:hAnsi="Cambria Math"/>
                        <w:i/>
                        <w:szCs w:val="21"/>
                      </w:rPr>
                    </m:ctrlPr>
                  </m:sub>
                </m:sSub>
                <m:r>
                  <m:rPr/>
                  <w:rPr>
                    <w:rFonts w:ascii="Cambria Math" w:hAnsi="Cambria Math"/>
                    <w:szCs w:val="21"/>
                  </w:rPr>
                  <m:t>−</m:t>
                </m:r>
                <m:sSub>
                  <m:sSubPr>
                    <m:ctrlPr>
                      <w:rPr>
                        <w:rFonts w:ascii="Cambria Math" w:hAnsi="Cambria Math"/>
                        <w:i/>
                        <w:szCs w:val="21"/>
                      </w:rPr>
                    </m:ctrlPr>
                  </m:sSubPr>
                  <m:e>
                    <m:r>
                      <m:rPr/>
                      <w:rPr>
                        <w:rFonts w:ascii="Cambria Math" w:hAnsi="Cambria Math"/>
                        <w:szCs w:val="21"/>
                      </w:rPr>
                      <m:t>t</m:t>
                    </m:r>
                    <m:ctrlPr>
                      <w:rPr>
                        <w:rFonts w:ascii="Cambria Math" w:hAnsi="Cambria Math"/>
                        <w:i/>
                        <w:szCs w:val="21"/>
                      </w:rPr>
                    </m:ctrlPr>
                  </m:e>
                  <m:sub>
                    <m:r>
                      <m:rPr/>
                      <w:rPr>
                        <w:rFonts w:ascii="Cambria Math" w:hAnsi="Cambria Math"/>
                        <w:szCs w:val="21"/>
                      </w:rPr>
                      <m:t>jmin</m:t>
                    </m:r>
                    <m:ctrlPr>
                      <w:rPr>
                        <w:rFonts w:ascii="Cambria Math" w:hAnsi="Cambria Math"/>
                        <w:i/>
                        <w:szCs w:val="21"/>
                      </w:rPr>
                    </m:ctrlPr>
                  </m:sub>
                </m:sSub>
              </m:oMath>
            </m:oMathPara>
          </w:p>
        </w:tc>
        <w:tc>
          <w:tcPr>
            <w:tcW w:w="1021" w:type="dxa"/>
            <w:tcBorders>
              <w:top w:val="single" w:color="auto" w:sz="4" w:space="0"/>
              <w:left w:val="nil"/>
              <w:right w:val="single" w:color="auto" w:sz="4" w:space="0"/>
            </w:tcBorders>
            <w:shd w:val="clear" w:color="auto" w:fill="auto"/>
            <w:noWrap/>
            <w:vAlign w:val="center"/>
          </w:tcPr>
          <w:p>
            <w:pPr>
              <w:jc w:val="center"/>
              <w:rPr>
                <w:kern w:val="0"/>
                <w:szCs w:val="21"/>
              </w:rPr>
            </w:pPr>
          </w:p>
        </w:tc>
        <w:tc>
          <w:tcPr>
            <w:tcW w:w="1025" w:type="dxa"/>
            <w:tcBorders>
              <w:top w:val="single" w:color="auto" w:sz="4" w:space="0"/>
              <w:left w:val="nil"/>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right w:val="single" w:color="auto" w:sz="4" w:space="0"/>
            </w:tcBorders>
            <w:shd w:val="clear" w:color="auto" w:fill="auto"/>
            <w:noWrap/>
            <w:vAlign w:val="center"/>
          </w:tcPr>
          <w:p>
            <w:pPr>
              <w:jc w:val="center"/>
              <w:rPr>
                <w:kern w:val="0"/>
                <w:szCs w:val="21"/>
              </w:rPr>
            </w:pPr>
          </w:p>
        </w:tc>
        <w:tc>
          <w:tcPr>
            <w:tcW w:w="1021" w:type="dxa"/>
            <w:tcBorders>
              <w:top w:val="single" w:color="auto" w:sz="4" w:space="0"/>
              <w:left w:val="nil"/>
              <w:right w:val="single" w:color="auto" w:sz="4" w:space="0"/>
            </w:tcBorders>
            <w:shd w:val="clear" w:color="auto" w:fill="auto"/>
            <w:noWrap/>
            <w:vAlign w:val="center"/>
          </w:tcPr>
          <w:p>
            <w:pPr>
              <w:jc w:val="center"/>
              <w:rPr>
                <w:kern w:val="0"/>
                <w:szCs w:val="21"/>
              </w:rPr>
            </w:pPr>
          </w:p>
        </w:tc>
        <w:tc>
          <w:tcPr>
            <w:tcW w:w="1133" w:type="dxa"/>
            <w:tcBorders>
              <w:top w:val="single" w:color="auto" w:sz="4" w:space="0"/>
              <w:left w:val="nil"/>
              <w:right w:val="single" w:color="auto" w:sz="4" w:space="0"/>
            </w:tcBorders>
            <w:shd w:val="clear" w:color="auto" w:fill="auto"/>
            <w:noWrap/>
            <w:vAlign w:val="center"/>
          </w:tcPr>
          <w:p>
            <w:pPr>
              <w:jc w:val="center"/>
              <w:rPr>
                <w:kern w:val="0"/>
                <w:szCs w:val="21"/>
              </w:rPr>
            </w:pPr>
          </w:p>
        </w:tc>
        <w:tc>
          <w:tcPr>
            <w:tcW w:w="1458" w:type="dxa"/>
            <w:tcBorders>
              <w:top w:val="single" w:color="auto" w:sz="4" w:space="0"/>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549" w:hRule="atLeast"/>
        </w:trPr>
        <w:tc>
          <w:tcPr>
            <w:tcW w:w="229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r>
              <w:rPr>
                <w:kern w:val="0"/>
                <w:szCs w:val="21"/>
              </w:rPr>
              <w:t>温度上偏差</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Cs w:val="21"/>
              </w:rPr>
            </w:pPr>
          </w:p>
        </w:tc>
        <w:tc>
          <w:tcPr>
            <w:tcW w:w="20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Cs w:val="21"/>
              </w:rPr>
            </w:pPr>
            <w:r>
              <w:rPr>
                <w:kern w:val="0"/>
                <w:szCs w:val="21"/>
              </w:rPr>
              <w:t>温度均匀度</w:t>
            </w:r>
          </w:p>
        </w:tc>
        <w:tc>
          <w:tcPr>
            <w:tcW w:w="1021" w:type="dxa"/>
            <w:tcBorders>
              <w:top w:val="single" w:color="auto" w:sz="4" w:space="0"/>
              <w:left w:val="nil"/>
              <w:bottom w:val="single" w:color="auto" w:sz="4" w:space="0"/>
              <w:right w:val="single" w:color="auto" w:sz="4" w:space="0"/>
            </w:tcBorders>
            <w:shd w:val="clear" w:color="auto" w:fill="auto"/>
            <w:vAlign w:val="center"/>
          </w:tcPr>
          <w:p>
            <w:pPr>
              <w:jc w:val="center"/>
              <w:rPr>
                <w:kern w:val="0"/>
                <w:szCs w:val="21"/>
              </w:rPr>
            </w:pPr>
          </w:p>
        </w:tc>
        <w:tc>
          <w:tcPr>
            <w:tcW w:w="1133" w:type="dxa"/>
            <w:vMerge w:val="restart"/>
            <w:tcBorders>
              <w:top w:val="single" w:color="auto" w:sz="4" w:space="0"/>
              <w:left w:val="nil"/>
              <w:right w:val="single" w:color="auto" w:sz="4" w:space="0"/>
            </w:tcBorders>
            <w:shd w:val="clear" w:color="auto" w:fill="auto"/>
            <w:vAlign w:val="center"/>
          </w:tcPr>
          <w:p>
            <w:pPr>
              <w:jc w:val="center"/>
              <w:rPr>
                <w:kern w:val="0"/>
                <w:szCs w:val="21"/>
              </w:rPr>
            </w:pPr>
            <w:r>
              <w:rPr>
                <w:szCs w:val="21"/>
              </w:rPr>
              <w:t>温度偏差扩展不确定度（</w:t>
            </w:r>
            <w:r>
              <w:rPr>
                <w:i/>
                <w:szCs w:val="21"/>
              </w:rPr>
              <w:t>k</w:t>
            </w:r>
            <w:r>
              <w:rPr>
                <w:szCs w:val="21"/>
              </w:rPr>
              <w:t>=2）</w:t>
            </w:r>
          </w:p>
        </w:tc>
        <w:tc>
          <w:tcPr>
            <w:tcW w:w="1458" w:type="dxa"/>
            <w:vMerge w:val="restart"/>
            <w:tcBorders>
              <w:top w:val="single" w:color="auto" w:sz="4" w:space="0"/>
              <w:left w:val="nil"/>
              <w:right w:val="single" w:color="auto" w:sz="4" w:space="0"/>
            </w:tcBorders>
            <w:shd w:val="clear" w:color="auto" w:fill="auto"/>
            <w:vAlign w:val="center"/>
          </w:tcPr>
          <w:p>
            <w:pPr>
              <w:jc w:val="center"/>
              <w:rPr>
                <w:kern w:val="0"/>
                <w:szCs w:val="21"/>
              </w:rPr>
            </w:pPr>
          </w:p>
        </w:tc>
      </w:tr>
      <w:tr>
        <w:tblPrEx>
          <w:tblCellMar>
            <w:top w:w="0" w:type="dxa"/>
            <w:left w:w="108" w:type="dxa"/>
            <w:bottom w:w="0" w:type="dxa"/>
            <w:right w:w="108" w:type="dxa"/>
          </w:tblCellMar>
        </w:tblPrEx>
        <w:trPr>
          <w:trHeight w:val="218" w:hRule="atLeast"/>
        </w:trPr>
        <w:tc>
          <w:tcPr>
            <w:tcW w:w="229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r>
              <w:rPr>
                <w:kern w:val="0"/>
                <w:szCs w:val="21"/>
              </w:rPr>
              <w:t>温度下偏差</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Cs w:val="21"/>
              </w:rPr>
            </w:pPr>
          </w:p>
        </w:tc>
        <w:tc>
          <w:tcPr>
            <w:tcW w:w="20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Cs w:val="21"/>
              </w:rPr>
            </w:pPr>
            <w:r>
              <w:rPr>
                <w:kern w:val="0"/>
                <w:szCs w:val="21"/>
              </w:rPr>
              <w:t>温度波动度</w:t>
            </w:r>
          </w:p>
        </w:tc>
        <w:tc>
          <w:tcPr>
            <w:tcW w:w="1021" w:type="dxa"/>
            <w:tcBorders>
              <w:top w:val="single" w:color="auto" w:sz="4" w:space="0"/>
              <w:left w:val="nil"/>
              <w:bottom w:val="single" w:color="auto" w:sz="4" w:space="0"/>
              <w:right w:val="single" w:color="auto" w:sz="4" w:space="0"/>
            </w:tcBorders>
            <w:shd w:val="clear" w:color="auto" w:fill="auto"/>
            <w:vAlign w:val="center"/>
          </w:tcPr>
          <w:p>
            <w:pPr>
              <w:jc w:val="center"/>
              <w:rPr>
                <w:kern w:val="0"/>
                <w:szCs w:val="21"/>
              </w:rPr>
            </w:pPr>
          </w:p>
        </w:tc>
        <w:tc>
          <w:tcPr>
            <w:tcW w:w="1133" w:type="dxa"/>
            <w:vMerge w:val="continue"/>
            <w:tcBorders>
              <w:left w:val="nil"/>
              <w:bottom w:val="single" w:color="auto" w:sz="4" w:space="0"/>
              <w:right w:val="single" w:color="auto" w:sz="4" w:space="0"/>
            </w:tcBorders>
            <w:shd w:val="clear" w:color="auto" w:fill="auto"/>
            <w:vAlign w:val="center"/>
          </w:tcPr>
          <w:p>
            <w:pPr>
              <w:jc w:val="center"/>
              <w:rPr>
                <w:kern w:val="0"/>
                <w:sz w:val="20"/>
              </w:rPr>
            </w:pPr>
          </w:p>
        </w:tc>
        <w:tc>
          <w:tcPr>
            <w:tcW w:w="1458" w:type="dxa"/>
            <w:vMerge w:val="continue"/>
            <w:tcBorders>
              <w:left w:val="nil"/>
              <w:bottom w:val="single" w:color="auto" w:sz="4" w:space="0"/>
              <w:right w:val="single" w:color="auto" w:sz="4" w:space="0"/>
            </w:tcBorders>
            <w:shd w:val="clear" w:color="auto" w:fill="auto"/>
            <w:vAlign w:val="center"/>
          </w:tcPr>
          <w:p>
            <w:pPr>
              <w:jc w:val="center"/>
              <w:rPr>
                <w:kern w:val="0"/>
                <w:sz w:val="20"/>
              </w:rPr>
            </w:pPr>
          </w:p>
        </w:tc>
      </w:tr>
    </w:tbl>
    <w:p>
      <w:pPr>
        <w:pStyle w:val="49"/>
        <w:numPr>
          <w:ilvl w:val="0"/>
          <w:numId w:val="5"/>
        </w:numPr>
        <w:tabs>
          <w:tab w:val="right" w:pos="9360"/>
          <w:tab w:val="right" w:pos="9450"/>
          <w:tab w:val="right" w:leader="dot" w:pos="11340"/>
          <w:tab w:val="right" w:pos="14742"/>
        </w:tabs>
        <w:autoSpaceDE w:val="0"/>
        <w:autoSpaceDN w:val="0"/>
        <w:adjustRightInd w:val="0"/>
        <w:spacing w:before="120" w:beforeLines="50" w:line="360" w:lineRule="auto"/>
        <w:ind w:left="777" w:hanging="357" w:firstLineChars="0"/>
        <w:jc w:val="left"/>
        <w:rPr>
          <w:rFonts w:ascii="Times New Roman" w:hAnsi="Times New Roman" w:eastAsia="黑体"/>
          <w:szCs w:val="21"/>
        </w:rPr>
      </w:pPr>
      <w:r>
        <w:rPr>
          <w:rFonts w:ascii="Times New Roman" w:hAnsi="Times New Roman" w:eastAsia="黑体"/>
          <w:szCs w:val="21"/>
        </w:rPr>
        <w:t xml:space="preserve">拉伸装置示值误差 </w:t>
      </w:r>
    </w:p>
    <w:p>
      <w:pPr>
        <w:ind w:right="420" w:firstLine="420" w:firstLineChars="200"/>
        <w:jc w:val="right"/>
        <w:rPr>
          <w:szCs w:val="21"/>
        </w:rPr>
      </w:pPr>
      <w:r>
        <w:rPr>
          <w:szCs w:val="21"/>
        </w:rPr>
        <w:t>单位：mm</w:t>
      </w:r>
    </w:p>
    <w:tbl>
      <w:tblPr>
        <w:tblStyle w:val="22"/>
        <w:tblW w:w="8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4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304" w:type="dxa"/>
            <w:vAlign w:val="center"/>
          </w:tcPr>
          <w:p>
            <w:pPr>
              <w:jc w:val="center"/>
              <w:rPr>
                <w:szCs w:val="21"/>
              </w:rPr>
            </w:pPr>
            <w:r>
              <w:rPr>
                <w:szCs w:val="21"/>
              </w:rPr>
              <w:t>拉伸长度</w:t>
            </w:r>
          </w:p>
        </w:tc>
        <w:tc>
          <w:tcPr>
            <w:tcW w:w="1304" w:type="dxa"/>
            <w:vAlign w:val="center"/>
          </w:tcPr>
          <w:p>
            <w:pPr>
              <w:jc w:val="center"/>
              <w:rPr>
                <w:szCs w:val="21"/>
              </w:rPr>
            </w:pPr>
            <w:r>
              <w:rPr>
                <w:kern w:val="0"/>
                <w:szCs w:val="21"/>
              </w:rPr>
              <w:t>实测数据</w:t>
            </w:r>
          </w:p>
        </w:tc>
        <w:tc>
          <w:tcPr>
            <w:tcW w:w="1304" w:type="dxa"/>
            <w:vAlign w:val="center"/>
          </w:tcPr>
          <w:p>
            <w:pPr>
              <w:jc w:val="center"/>
              <w:rPr>
                <w:szCs w:val="21"/>
              </w:rPr>
            </w:pPr>
            <w:r>
              <w:rPr>
                <w:kern w:val="0"/>
                <w:szCs w:val="21"/>
              </w:rPr>
              <w:t>示值误差</w:t>
            </w:r>
          </w:p>
        </w:tc>
        <w:tc>
          <w:tcPr>
            <w:tcW w:w="3792" w:type="dxa"/>
            <w:vAlign w:val="center"/>
          </w:tcPr>
          <w:p>
            <w:pPr>
              <w:jc w:val="center"/>
              <w:rPr>
                <w:szCs w:val="21"/>
              </w:rPr>
            </w:pPr>
            <w:r>
              <w:rPr>
                <w:szCs w:val="21"/>
              </w:rPr>
              <w:t>扩展不确定度（</w:t>
            </w:r>
            <w:r>
              <w:rPr>
                <w:i/>
                <w:szCs w:val="21"/>
              </w:rPr>
              <w:t>k</w:t>
            </w: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1304" w:type="dxa"/>
            <w:vAlign w:val="center"/>
          </w:tcPr>
          <w:p>
            <w:pPr>
              <w:jc w:val="center"/>
              <w:rPr>
                <w:szCs w:val="21"/>
              </w:rPr>
            </w:pPr>
          </w:p>
        </w:tc>
        <w:tc>
          <w:tcPr>
            <w:tcW w:w="1304" w:type="dxa"/>
            <w:vAlign w:val="center"/>
          </w:tcPr>
          <w:p>
            <w:pPr>
              <w:jc w:val="center"/>
              <w:rPr>
                <w:szCs w:val="21"/>
              </w:rPr>
            </w:pPr>
          </w:p>
        </w:tc>
        <w:tc>
          <w:tcPr>
            <w:tcW w:w="1304" w:type="dxa"/>
            <w:vAlign w:val="center"/>
          </w:tcPr>
          <w:p>
            <w:pPr>
              <w:jc w:val="center"/>
              <w:rPr>
                <w:szCs w:val="21"/>
              </w:rPr>
            </w:pPr>
          </w:p>
        </w:tc>
        <w:tc>
          <w:tcPr>
            <w:tcW w:w="3792"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04" w:type="dxa"/>
            <w:tcBorders>
              <w:bottom w:val="single" w:color="auto" w:sz="4" w:space="0"/>
            </w:tcBorders>
            <w:vAlign w:val="center"/>
          </w:tcPr>
          <w:p>
            <w:pPr>
              <w:jc w:val="center"/>
              <w:rPr>
                <w:szCs w:val="21"/>
              </w:rPr>
            </w:pPr>
          </w:p>
        </w:tc>
        <w:tc>
          <w:tcPr>
            <w:tcW w:w="1304" w:type="dxa"/>
            <w:tcBorders>
              <w:bottom w:val="single" w:color="auto" w:sz="4" w:space="0"/>
            </w:tcBorders>
            <w:vAlign w:val="center"/>
          </w:tcPr>
          <w:p>
            <w:pPr>
              <w:jc w:val="center"/>
              <w:rPr>
                <w:szCs w:val="21"/>
              </w:rPr>
            </w:pPr>
          </w:p>
        </w:tc>
        <w:tc>
          <w:tcPr>
            <w:tcW w:w="1304" w:type="dxa"/>
            <w:tcBorders>
              <w:bottom w:val="single" w:color="auto" w:sz="4" w:space="0"/>
            </w:tcBorders>
            <w:vAlign w:val="center"/>
          </w:tcPr>
          <w:p>
            <w:pPr>
              <w:jc w:val="center"/>
              <w:rPr>
                <w:szCs w:val="21"/>
              </w:rPr>
            </w:pPr>
          </w:p>
        </w:tc>
        <w:tc>
          <w:tcPr>
            <w:tcW w:w="3792" w:type="dxa"/>
            <w:tcBorders>
              <w:bottom w:val="single" w:color="auto" w:sz="4" w:space="0"/>
            </w:tcBorders>
            <w:vAlign w:val="center"/>
          </w:tcPr>
          <w:p>
            <w:pPr>
              <w:jc w:val="center"/>
              <w:rPr>
                <w:szCs w:val="21"/>
              </w:rPr>
            </w:pPr>
          </w:p>
        </w:tc>
      </w:tr>
    </w:tbl>
    <w:p>
      <w:pPr>
        <w:pStyle w:val="49"/>
        <w:numPr>
          <w:ilvl w:val="0"/>
          <w:numId w:val="5"/>
        </w:numPr>
        <w:tabs>
          <w:tab w:val="right" w:pos="9360"/>
          <w:tab w:val="right" w:pos="9450"/>
          <w:tab w:val="right" w:leader="dot" w:pos="11340"/>
          <w:tab w:val="right" w:pos="14742"/>
        </w:tabs>
        <w:autoSpaceDE w:val="0"/>
        <w:autoSpaceDN w:val="0"/>
        <w:adjustRightInd w:val="0"/>
        <w:spacing w:line="360" w:lineRule="auto"/>
        <w:ind w:firstLineChars="0"/>
        <w:jc w:val="left"/>
        <w:rPr>
          <w:rFonts w:ascii="Times New Roman" w:hAnsi="Times New Roman" w:eastAsia="黑体"/>
          <w:szCs w:val="21"/>
        </w:rPr>
      </w:pPr>
      <w:r>
        <w:rPr>
          <w:rFonts w:ascii="Times New Roman" w:hAnsi="Times New Roman" w:eastAsia="黑体"/>
          <w:szCs w:val="21"/>
        </w:rPr>
        <w:t>拉伸速度</w:t>
      </w:r>
    </w:p>
    <w:tbl>
      <w:tblPr>
        <w:tblStyle w:val="22"/>
        <w:tblW w:w="5000" w:type="pct"/>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8"/>
        <w:gridCol w:w="1366"/>
        <w:gridCol w:w="1367"/>
        <w:gridCol w:w="1367"/>
        <w:gridCol w:w="1533"/>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718" w:type="dxa"/>
            <w:vMerge w:val="restart"/>
            <w:vAlign w:val="center"/>
          </w:tcPr>
          <w:p>
            <w:pPr>
              <w:jc w:val="center"/>
              <w:rPr>
                <w:szCs w:val="21"/>
              </w:rPr>
            </w:pPr>
            <w:r>
              <w:rPr>
                <w:kern w:val="0"/>
                <w:szCs w:val="21"/>
              </w:rPr>
              <w:t>设定速度（mm/min）</w:t>
            </w:r>
          </w:p>
        </w:tc>
        <w:tc>
          <w:tcPr>
            <w:tcW w:w="4500" w:type="dxa"/>
            <w:gridSpan w:val="3"/>
            <w:vAlign w:val="center"/>
          </w:tcPr>
          <w:p>
            <w:pPr>
              <w:jc w:val="center"/>
              <w:rPr>
                <w:szCs w:val="21"/>
              </w:rPr>
            </w:pPr>
            <w:r>
              <w:rPr>
                <w:kern w:val="0"/>
                <w:szCs w:val="21"/>
              </w:rPr>
              <w:t>实测数据（mm）</w:t>
            </w:r>
          </w:p>
        </w:tc>
        <w:tc>
          <w:tcPr>
            <w:tcW w:w="1556" w:type="dxa"/>
            <w:vMerge w:val="restart"/>
            <w:vAlign w:val="center"/>
          </w:tcPr>
          <w:p>
            <w:pPr>
              <w:jc w:val="center"/>
              <w:rPr>
                <w:szCs w:val="21"/>
              </w:rPr>
            </w:pPr>
            <w:r>
              <w:rPr>
                <w:szCs w:val="21"/>
              </w:rPr>
              <w:t>平均拉伸速度</w:t>
            </w:r>
            <w:r>
              <w:rPr>
                <w:kern w:val="0"/>
                <w:szCs w:val="21"/>
              </w:rPr>
              <w:t>（mm/min）</w:t>
            </w:r>
          </w:p>
        </w:tc>
        <w:tc>
          <w:tcPr>
            <w:tcW w:w="2286" w:type="dxa"/>
            <w:vMerge w:val="restart"/>
            <w:vAlign w:val="center"/>
          </w:tcPr>
          <w:p>
            <w:pPr>
              <w:jc w:val="center"/>
              <w:rPr>
                <w:szCs w:val="21"/>
              </w:rPr>
            </w:pPr>
            <w:r>
              <w:rPr>
                <w:kern w:val="0"/>
                <w:szCs w:val="21"/>
              </w:rPr>
              <w:t>相对误差/%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718" w:type="dxa"/>
            <w:vMerge w:val="continue"/>
            <w:vAlign w:val="center"/>
          </w:tcPr>
          <w:p>
            <w:pPr>
              <w:jc w:val="center"/>
              <w:rPr>
                <w:szCs w:val="21"/>
              </w:rPr>
            </w:pPr>
          </w:p>
        </w:tc>
        <w:tc>
          <w:tcPr>
            <w:tcW w:w="1500" w:type="dxa"/>
            <w:vAlign w:val="center"/>
          </w:tcPr>
          <w:p>
            <w:pPr>
              <w:jc w:val="center"/>
              <w:rPr>
                <w:szCs w:val="21"/>
              </w:rPr>
            </w:pPr>
            <m:oMathPara>
              <m:oMath>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oMath>
            </m:oMathPara>
          </w:p>
        </w:tc>
        <w:tc>
          <w:tcPr>
            <w:tcW w:w="1500" w:type="dxa"/>
            <w:vAlign w:val="center"/>
          </w:tcPr>
          <w:p>
            <w:pPr>
              <w:jc w:val="center"/>
              <w:rPr>
                <w:szCs w:val="21"/>
              </w:rPr>
            </w:pPr>
            <m:oMathPara>
              <m:oMath>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oMath>
            </m:oMathPara>
          </w:p>
        </w:tc>
        <w:tc>
          <w:tcPr>
            <w:tcW w:w="1500" w:type="dxa"/>
            <w:vAlign w:val="center"/>
          </w:tcPr>
          <w:p>
            <w:pPr>
              <w:jc w:val="center"/>
              <w:rPr>
                <w:szCs w:val="21"/>
              </w:rPr>
            </w:pPr>
            <m:oMathPara>
              <m:oMath>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3</m:t>
                    </m:r>
                    <m:ctrlPr>
                      <w:rPr>
                        <w:rFonts w:ascii="Cambria Math" w:hAnsi="Cambria Math"/>
                        <w:i/>
                        <w:sz w:val="24"/>
                      </w:rPr>
                    </m:ctrlPr>
                  </m:sub>
                </m:sSub>
              </m:oMath>
            </m:oMathPara>
          </w:p>
        </w:tc>
        <w:tc>
          <w:tcPr>
            <w:tcW w:w="1556" w:type="dxa"/>
            <w:vMerge w:val="continue"/>
            <w:vAlign w:val="center"/>
          </w:tcPr>
          <w:p>
            <w:pPr>
              <w:jc w:val="center"/>
              <w:rPr>
                <w:szCs w:val="21"/>
              </w:rPr>
            </w:pPr>
          </w:p>
        </w:tc>
        <w:tc>
          <w:tcPr>
            <w:tcW w:w="2286"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trPr>
        <w:tc>
          <w:tcPr>
            <w:tcW w:w="718" w:type="dxa"/>
            <w:vAlign w:val="center"/>
          </w:tcPr>
          <w:p>
            <w:pPr>
              <w:jc w:val="center"/>
              <w:rPr>
                <w:szCs w:val="21"/>
              </w:rPr>
            </w:pPr>
            <w:r>
              <w:rPr>
                <w:szCs w:val="21"/>
              </w:rPr>
              <w:t>50（</w:t>
            </w:r>
            <w:r>
              <w:rPr>
                <w:kern w:val="0"/>
                <w:szCs w:val="21"/>
              </w:rPr>
              <w:t>10 min</w:t>
            </w:r>
            <w:r>
              <w:rPr>
                <w:szCs w:val="21"/>
              </w:rPr>
              <w:t>）</w:t>
            </w:r>
          </w:p>
        </w:tc>
        <w:tc>
          <w:tcPr>
            <w:tcW w:w="1500" w:type="dxa"/>
            <w:vAlign w:val="center"/>
          </w:tcPr>
          <w:p>
            <w:pPr>
              <w:jc w:val="center"/>
              <w:rPr>
                <w:szCs w:val="21"/>
              </w:rPr>
            </w:pPr>
          </w:p>
        </w:tc>
        <w:tc>
          <w:tcPr>
            <w:tcW w:w="1500" w:type="dxa"/>
            <w:vAlign w:val="center"/>
          </w:tcPr>
          <w:p>
            <w:pPr>
              <w:jc w:val="center"/>
              <w:rPr>
                <w:szCs w:val="21"/>
              </w:rPr>
            </w:pPr>
          </w:p>
        </w:tc>
        <w:tc>
          <w:tcPr>
            <w:tcW w:w="1500" w:type="dxa"/>
            <w:vAlign w:val="center"/>
          </w:tcPr>
          <w:p>
            <w:pPr>
              <w:jc w:val="center"/>
              <w:rPr>
                <w:szCs w:val="21"/>
              </w:rPr>
            </w:pPr>
          </w:p>
        </w:tc>
        <w:tc>
          <w:tcPr>
            <w:tcW w:w="1556" w:type="dxa"/>
            <w:vAlign w:val="center"/>
          </w:tcPr>
          <w:p>
            <w:pPr>
              <w:jc w:val="center"/>
              <w:rPr>
                <w:szCs w:val="21"/>
              </w:rPr>
            </w:pPr>
          </w:p>
        </w:tc>
        <w:tc>
          <w:tcPr>
            <w:tcW w:w="2286"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718" w:type="dxa"/>
            <w:vAlign w:val="center"/>
          </w:tcPr>
          <w:p>
            <w:pPr>
              <w:jc w:val="center"/>
              <w:rPr>
                <w:szCs w:val="21"/>
              </w:rPr>
            </w:pPr>
            <w:r>
              <w:rPr>
                <w:szCs w:val="21"/>
              </w:rPr>
              <w:t>10（</w:t>
            </w:r>
            <w:r>
              <w:rPr>
                <w:kern w:val="0"/>
                <w:szCs w:val="21"/>
              </w:rPr>
              <w:t>10 min</w:t>
            </w:r>
            <w:r>
              <w:rPr>
                <w:szCs w:val="21"/>
              </w:rPr>
              <w:t>）</w:t>
            </w:r>
          </w:p>
        </w:tc>
        <w:tc>
          <w:tcPr>
            <w:tcW w:w="1500" w:type="dxa"/>
            <w:vAlign w:val="center"/>
          </w:tcPr>
          <w:p>
            <w:pPr>
              <w:jc w:val="center"/>
              <w:rPr>
                <w:szCs w:val="21"/>
              </w:rPr>
            </w:pPr>
          </w:p>
        </w:tc>
        <w:tc>
          <w:tcPr>
            <w:tcW w:w="1500" w:type="dxa"/>
            <w:vAlign w:val="center"/>
          </w:tcPr>
          <w:p>
            <w:pPr>
              <w:jc w:val="center"/>
              <w:rPr>
                <w:szCs w:val="21"/>
              </w:rPr>
            </w:pPr>
          </w:p>
        </w:tc>
        <w:tc>
          <w:tcPr>
            <w:tcW w:w="1500" w:type="dxa"/>
            <w:vAlign w:val="center"/>
          </w:tcPr>
          <w:p>
            <w:pPr>
              <w:jc w:val="center"/>
              <w:rPr>
                <w:szCs w:val="21"/>
              </w:rPr>
            </w:pPr>
          </w:p>
        </w:tc>
        <w:tc>
          <w:tcPr>
            <w:tcW w:w="1556" w:type="dxa"/>
            <w:vAlign w:val="center"/>
          </w:tcPr>
          <w:p>
            <w:pPr>
              <w:jc w:val="center"/>
              <w:rPr>
                <w:szCs w:val="21"/>
              </w:rPr>
            </w:pPr>
          </w:p>
        </w:tc>
        <w:tc>
          <w:tcPr>
            <w:tcW w:w="2286" w:type="dxa"/>
            <w:vAlign w:val="center"/>
          </w:tcPr>
          <w:p>
            <w:pPr>
              <w:jc w:val="center"/>
              <w:rPr>
                <w:szCs w:val="21"/>
              </w:rPr>
            </w:pPr>
          </w:p>
        </w:tc>
      </w:tr>
    </w:tbl>
    <w:p>
      <w:pPr>
        <w:pStyle w:val="49"/>
        <w:numPr>
          <w:ilvl w:val="0"/>
          <w:numId w:val="5"/>
        </w:numPr>
        <w:tabs>
          <w:tab w:val="right" w:pos="9360"/>
          <w:tab w:val="right" w:pos="9450"/>
          <w:tab w:val="right" w:leader="dot" w:pos="11340"/>
          <w:tab w:val="right" w:pos="14742"/>
        </w:tabs>
        <w:autoSpaceDE w:val="0"/>
        <w:autoSpaceDN w:val="0"/>
        <w:adjustRightInd w:val="0"/>
        <w:spacing w:before="120" w:beforeLines="50" w:line="360" w:lineRule="auto"/>
        <w:ind w:left="777" w:hanging="357" w:firstLineChars="0"/>
        <w:jc w:val="left"/>
        <w:rPr>
          <w:rFonts w:ascii="Times New Roman" w:hAnsi="Times New Roman" w:eastAsia="黑体"/>
          <w:szCs w:val="21"/>
        </w:rPr>
      </w:pPr>
      <w:r>
        <w:rPr>
          <w:rFonts w:ascii="Times New Roman" w:hAnsi="Times New Roman" w:eastAsia="黑体"/>
          <w:szCs w:val="21"/>
        </w:rPr>
        <w:t>摆动量</w:t>
      </w:r>
    </w:p>
    <w:p>
      <w:pPr>
        <w:tabs>
          <w:tab w:val="right" w:pos="9360"/>
          <w:tab w:val="right" w:pos="9450"/>
          <w:tab w:val="right" w:leader="dot" w:pos="11340"/>
          <w:tab w:val="right" w:pos="14742"/>
        </w:tabs>
        <w:autoSpaceDE w:val="0"/>
        <w:autoSpaceDN w:val="0"/>
        <w:adjustRightInd w:val="0"/>
        <w:spacing w:before="120" w:beforeLines="50" w:line="360" w:lineRule="auto"/>
        <w:ind w:left="420" w:right="420"/>
        <w:jc w:val="right"/>
        <w:rPr>
          <w:rFonts w:eastAsia="黑体"/>
          <w:szCs w:val="21"/>
        </w:rPr>
      </w:pPr>
      <w:r>
        <w:rPr>
          <w:szCs w:val="21"/>
        </w:rPr>
        <w:t>单位：mm</w:t>
      </w:r>
    </w:p>
    <w:tbl>
      <w:tblPr>
        <w:tblStyle w:val="22"/>
        <w:tblW w:w="5000" w:type="pct"/>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0"/>
        <w:gridCol w:w="1390"/>
        <w:gridCol w:w="1348"/>
        <w:gridCol w:w="1348"/>
        <w:gridCol w:w="1441"/>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91" w:type="dxa"/>
            <w:vAlign w:val="center"/>
          </w:tcPr>
          <w:p>
            <w:pPr>
              <w:jc w:val="center"/>
              <w:rPr>
                <w:szCs w:val="21"/>
              </w:rPr>
            </w:pPr>
            <w:r>
              <w:rPr>
                <w:kern w:val="0"/>
                <w:szCs w:val="21"/>
              </w:rPr>
              <w:t>拉伸速率（mm/min）</w:t>
            </w:r>
          </w:p>
        </w:tc>
        <w:tc>
          <w:tcPr>
            <w:tcW w:w="1390" w:type="dxa"/>
            <w:vAlign w:val="center"/>
          </w:tcPr>
          <w:p>
            <w:pPr>
              <w:jc w:val="center"/>
              <w:rPr>
                <w:szCs w:val="21"/>
              </w:rPr>
            </w:pPr>
            <w:r>
              <w:rPr>
                <w:kern w:val="0"/>
                <w:szCs w:val="21"/>
              </w:rPr>
              <w:t>拉伸距离（</w:t>
            </w:r>
            <w:r>
              <w:rPr>
                <w:szCs w:val="21"/>
              </w:rPr>
              <w:t>mm</w:t>
            </w:r>
            <w:r>
              <w:rPr>
                <w:kern w:val="0"/>
                <w:szCs w:val="21"/>
              </w:rPr>
              <w:t>）</w:t>
            </w:r>
          </w:p>
        </w:tc>
        <w:tc>
          <w:tcPr>
            <w:tcW w:w="1348" w:type="dxa"/>
            <w:vAlign w:val="center"/>
          </w:tcPr>
          <w:p>
            <w:pPr>
              <w:jc w:val="center"/>
              <w:rPr>
                <w:szCs w:val="21"/>
              </w:rPr>
            </w:pPr>
            <w:r>
              <w:rPr>
                <w:szCs w:val="21"/>
              </w:rPr>
              <w:t>方向/次数</w:t>
            </w:r>
          </w:p>
        </w:tc>
        <w:tc>
          <w:tcPr>
            <w:tcW w:w="1348" w:type="dxa"/>
            <w:vAlign w:val="center"/>
          </w:tcPr>
          <w:p>
            <w:pPr>
              <w:jc w:val="center"/>
              <w:rPr>
                <w:szCs w:val="21"/>
              </w:rPr>
            </w:pPr>
            <w:r>
              <w:rPr>
                <w:szCs w:val="21"/>
              </w:rPr>
              <w:t>摆动量最大正偏差</w:t>
            </w:r>
          </w:p>
        </w:tc>
        <w:tc>
          <w:tcPr>
            <w:tcW w:w="1441" w:type="dxa"/>
            <w:vAlign w:val="center"/>
          </w:tcPr>
          <w:p>
            <w:pPr>
              <w:jc w:val="center"/>
              <w:rPr>
                <w:szCs w:val="21"/>
              </w:rPr>
            </w:pPr>
            <w:r>
              <w:rPr>
                <w:szCs w:val="21"/>
              </w:rPr>
              <w:t>摆动量最大负偏差</w:t>
            </w:r>
          </w:p>
        </w:tc>
        <w:tc>
          <w:tcPr>
            <w:tcW w:w="2043" w:type="dxa"/>
            <w:vAlign w:val="center"/>
          </w:tcPr>
          <w:p>
            <w:pPr>
              <w:jc w:val="center"/>
              <w:rPr>
                <w:szCs w:val="21"/>
              </w:rPr>
            </w:pPr>
            <w:r>
              <w:rPr>
                <w:szCs w:val="21"/>
              </w:rPr>
              <w:t>最大摆动量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491" w:type="dxa"/>
            <w:vMerge w:val="restart"/>
            <w:vAlign w:val="center"/>
          </w:tcPr>
          <w:p>
            <w:pPr>
              <w:jc w:val="center"/>
              <w:rPr>
                <w:szCs w:val="21"/>
              </w:rPr>
            </w:pPr>
            <w:r>
              <w:rPr>
                <w:szCs w:val="21"/>
              </w:rPr>
              <w:t>50</w:t>
            </w:r>
          </w:p>
        </w:tc>
        <w:tc>
          <w:tcPr>
            <w:tcW w:w="1390" w:type="dxa"/>
            <w:vMerge w:val="restart"/>
            <w:vAlign w:val="center"/>
          </w:tcPr>
          <w:p>
            <w:pPr>
              <w:jc w:val="center"/>
              <w:rPr>
                <w:szCs w:val="21"/>
              </w:rPr>
            </w:pPr>
            <w:r>
              <w:rPr>
                <w:szCs w:val="21"/>
              </w:rPr>
              <w:t xml:space="preserve">500 </w:t>
            </w:r>
          </w:p>
        </w:tc>
        <w:tc>
          <w:tcPr>
            <w:tcW w:w="1348" w:type="dxa"/>
            <w:vAlign w:val="center"/>
          </w:tcPr>
          <w:p>
            <w:pPr>
              <w:jc w:val="center"/>
              <w:rPr>
                <w:szCs w:val="21"/>
              </w:rPr>
            </w:pPr>
            <w:r>
              <w:rPr>
                <w:szCs w:val="21"/>
              </w:rPr>
              <w:t>横向/1</w:t>
            </w:r>
          </w:p>
        </w:tc>
        <w:tc>
          <w:tcPr>
            <w:tcW w:w="1348" w:type="dxa"/>
            <w:vAlign w:val="center"/>
          </w:tcPr>
          <w:p>
            <w:pPr>
              <w:jc w:val="center"/>
              <w:rPr>
                <w:szCs w:val="21"/>
              </w:rPr>
            </w:pPr>
          </w:p>
        </w:tc>
        <w:tc>
          <w:tcPr>
            <w:tcW w:w="1441" w:type="dxa"/>
            <w:vAlign w:val="center"/>
          </w:tcPr>
          <w:p>
            <w:pPr>
              <w:jc w:val="center"/>
              <w:rPr>
                <w:szCs w:val="21"/>
              </w:rPr>
            </w:pPr>
          </w:p>
        </w:tc>
        <w:tc>
          <w:tcPr>
            <w:tcW w:w="2043" w:type="dxa"/>
            <w:vMerge w:val="restar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491" w:type="dxa"/>
            <w:vMerge w:val="continue"/>
            <w:vAlign w:val="center"/>
          </w:tcPr>
          <w:p>
            <w:pPr>
              <w:jc w:val="center"/>
              <w:rPr>
                <w:szCs w:val="21"/>
              </w:rPr>
            </w:pPr>
          </w:p>
        </w:tc>
        <w:tc>
          <w:tcPr>
            <w:tcW w:w="1390" w:type="dxa"/>
            <w:vMerge w:val="continue"/>
            <w:vAlign w:val="center"/>
          </w:tcPr>
          <w:p>
            <w:pPr>
              <w:jc w:val="center"/>
              <w:rPr>
                <w:szCs w:val="21"/>
              </w:rPr>
            </w:pPr>
          </w:p>
        </w:tc>
        <w:tc>
          <w:tcPr>
            <w:tcW w:w="1348" w:type="dxa"/>
            <w:vAlign w:val="center"/>
          </w:tcPr>
          <w:p>
            <w:pPr>
              <w:jc w:val="center"/>
              <w:rPr>
                <w:szCs w:val="21"/>
              </w:rPr>
            </w:pPr>
            <w:r>
              <w:rPr>
                <w:szCs w:val="21"/>
              </w:rPr>
              <w:t>横向/2</w:t>
            </w:r>
          </w:p>
        </w:tc>
        <w:tc>
          <w:tcPr>
            <w:tcW w:w="1348" w:type="dxa"/>
            <w:vAlign w:val="center"/>
          </w:tcPr>
          <w:p>
            <w:pPr>
              <w:jc w:val="center"/>
              <w:rPr>
                <w:szCs w:val="21"/>
              </w:rPr>
            </w:pPr>
          </w:p>
        </w:tc>
        <w:tc>
          <w:tcPr>
            <w:tcW w:w="1441" w:type="dxa"/>
            <w:vAlign w:val="center"/>
          </w:tcPr>
          <w:p>
            <w:pPr>
              <w:jc w:val="center"/>
              <w:rPr>
                <w:szCs w:val="21"/>
              </w:rPr>
            </w:pPr>
          </w:p>
        </w:tc>
        <w:tc>
          <w:tcPr>
            <w:tcW w:w="204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1491" w:type="dxa"/>
            <w:vMerge w:val="continue"/>
            <w:vAlign w:val="center"/>
          </w:tcPr>
          <w:p>
            <w:pPr>
              <w:jc w:val="center"/>
              <w:rPr>
                <w:szCs w:val="21"/>
              </w:rPr>
            </w:pPr>
          </w:p>
        </w:tc>
        <w:tc>
          <w:tcPr>
            <w:tcW w:w="1390" w:type="dxa"/>
            <w:vMerge w:val="continue"/>
            <w:vAlign w:val="center"/>
          </w:tcPr>
          <w:p>
            <w:pPr>
              <w:jc w:val="center"/>
              <w:rPr>
                <w:szCs w:val="21"/>
              </w:rPr>
            </w:pPr>
          </w:p>
        </w:tc>
        <w:tc>
          <w:tcPr>
            <w:tcW w:w="1348" w:type="dxa"/>
            <w:vAlign w:val="center"/>
          </w:tcPr>
          <w:p>
            <w:pPr>
              <w:jc w:val="center"/>
              <w:rPr>
                <w:szCs w:val="21"/>
              </w:rPr>
            </w:pPr>
            <w:r>
              <w:rPr>
                <w:szCs w:val="21"/>
              </w:rPr>
              <w:t>横向/3</w:t>
            </w:r>
          </w:p>
        </w:tc>
        <w:tc>
          <w:tcPr>
            <w:tcW w:w="1348" w:type="dxa"/>
            <w:vAlign w:val="center"/>
          </w:tcPr>
          <w:p>
            <w:pPr>
              <w:jc w:val="center"/>
              <w:rPr>
                <w:szCs w:val="21"/>
              </w:rPr>
            </w:pPr>
          </w:p>
        </w:tc>
        <w:tc>
          <w:tcPr>
            <w:tcW w:w="1441" w:type="dxa"/>
            <w:vAlign w:val="center"/>
          </w:tcPr>
          <w:p>
            <w:pPr>
              <w:jc w:val="center"/>
              <w:rPr>
                <w:szCs w:val="21"/>
              </w:rPr>
            </w:pPr>
          </w:p>
        </w:tc>
        <w:tc>
          <w:tcPr>
            <w:tcW w:w="204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91" w:type="dxa"/>
            <w:vMerge w:val="continue"/>
            <w:vAlign w:val="center"/>
          </w:tcPr>
          <w:p>
            <w:pPr>
              <w:jc w:val="center"/>
              <w:rPr>
                <w:szCs w:val="21"/>
              </w:rPr>
            </w:pPr>
          </w:p>
        </w:tc>
        <w:tc>
          <w:tcPr>
            <w:tcW w:w="1390" w:type="dxa"/>
            <w:vMerge w:val="continue"/>
            <w:vAlign w:val="center"/>
          </w:tcPr>
          <w:p>
            <w:pPr>
              <w:jc w:val="center"/>
              <w:rPr>
                <w:szCs w:val="21"/>
              </w:rPr>
            </w:pPr>
          </w:p>
        </w:tc>
        <w:tc>
          <w:tcPr>
            <w:tcW w:w="1348" w:type="dxa"/>
            <w:vAlign w:val="center"/>
          </w:tcPr>
          <w:p>
            <w:pPr>
              <w:jc w:val="center"/>
              <w:rPr>
                <w:szCs w:val="21"/>
              </w:rPr>
            </w:pPr>
            <w:r>
              <w:rPr>
                <w:szCs w:val="21"/>
              </w:rPr>
              <w:t>纵向/1</w:t>
            </w:r>
          </w:p>
        </w:tc>
        <w:tc>
          <w:tcPr>
            <w:tcW w:w="1348" w:type="dxa"/>
            <w:vAlign w:val="center"/>
          </w:tcPr>
          <w:p>
            <w:pPr>
              <w:jc w:val="center"/>
              <w:rPr>
                <w:szCs w:val="21"/>
              </w:rPr>
            </w:pPr>
          </w:p>
        </w:tc>
        <w:tc>
          <w:tcPr>
            <w:tcW w:w="1441" w:type="dxa"/>
            <w:vAlign w:val="center"/>
          </w:tcPr>
          <w:p>
            <w:pPr>
              <w:jc w:val="center"/>
              <w:rPr>
                <w:szCs w:val="21"/>
              </w:rPr>
            </w:pPr>
          </w:p>
        </w:tc>
        <w:tc>
          <w:tcPr>
            <w:tcW w:w="2043" w:type="dxa"/>
            <w:vMerge w:val="restar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1491" w:type="dxa"/>
            <w:vMerge w:val="continue"/>
            <w:vAlign w:val="center"/>
          </w:tcPr>
          <w:p>
            <w:pPr>
              <w:jc w:val="center"/>
              <w:rPr>
                <w:szCs w:val="21"/>
              </w:rPr>
            </w:pPr>
          </w:p>
        </w:tc>
        <w:tc>
          <w:tcPr>
            <w:tcW w:w="1390" w:type="dxa"/>
            <w:vMerge w:val="continue"/>
            <w:vAlign w:val="center"/>
          </w:tcPr>
          <w:p>
            <w:pPr>
              <w:jc w:val="center"/>
              <w:rPr>
                <w:szCs w:val="21"/>
              </w:rPr>
            </w:pPr>
          </w:p>
        </w:tc>
        <w:tc>
          <w:tcPr>
            <w:tcW w:w="1348" w:type="dxa"/>
            <w:vAlign w:val="center"/>
          </w:tcPr>
          <w:p>
            <w:pPr>
              <w:jc w:val="center"/>
              <w:rPr>
                <w:szCs w:val="21"/>
              </w:rPr>
            </w:pPr>
            <w:r>
              <w:rPr>
                <w:szCs w:val="21"/>
              </w:rPr>
              <w:t>纵向/2</w:t>
            </w:r>
          </w:p>
        </w:tc>
        <w:tc>
          <w:tcPr>
            <w:tcW w:w="1348" w:type="dxa"/>
            <w:vAlign w:val="center"/>
          </w:tcPr>
          <w:p>
            <w:pPr>
              <w:jc w:val="center"/>
              <w:rPr>
                <w:szCs w:val="21"/>
              </w:rPr>
            </w:pPr>
          </w:p>
        </w:tc>
        <w:tc>
          <w:tcPr>
            <w:tcW w:w="1441" w:type="dxa"/>
            <w:vAlign w:val="center"/>
          </w:tcPr>
          <w:p>
            <w:pPr>
              <w:jc w:val="center"/>
              <w:rPr>
                <w:szCs w:val="21"/>
              </w:rPr>
            </w:pPr>
          </w:p>
        </w:tc>
        <w:tc>
          <w:tcPr>
            <w:tcW w:w="204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491" w:type="dxa"/>
            <w:vMerge w:val="continue"/>
            <w:vAlign w:val="center"/>
          </w:tcPr>
          <w:p>
            <w:pPr>
              <w:jc w:val="center"/>
              <w:rPr>
                <w:szCs w:val="21"/>
              </w:rPr>
            </w:pPr>
          </w:p>
        </w:tc>
        <w:tc>
          <w:tcPr>
            <w:tcW w:w="1390" w:type="dxa"/>
            <w:vMerge w:val="continue"/>
            <w:vAlign w:val="center"/>
          </w:tcPr>
          <w:p>
            <w:pPr>
              <w:jc w:val="center"/>
              <w:rPr>
                <w:szCs w:val="21"/>
              </w:rPr>
            </w:pPr>
          </w:p>
        </w:tc>
        <w:tc>
          <w:tcPr>
            <w:tcW w:w="1348" w:type="dxa"/>
            <w:vAlign w:val="center"/>
          </w:tcPr>
          <w:p>
            <w:pPr>
              <w:jc w:val="center"/>
              <w:rPr>
                <w:szCs w:val="21"/>
              </w:rPr>
            </w:pPr>
            <w:r>
              <w:rPr>
                <w:szCs w:val="21"/>
              </w:rPr>
              <w:t>纵向/3</w:t>
            </w:r>
          </w:p>
        </w:tc>
        <w:tc>
          <w:tcPr>
            <w:tcW w:w="1348" w:type="dxa"/>
            <w:vAlign w:val="center"/>
          </w:tcPr>
          <w:p>
            <w:pPr>
              <w:jc w:val="center"/>
              <w:rPr>
                <w:szCs w:val="21"/>
              </w:rPr>
            </w:pPr>
          </w:p>
        </w:tc>
        <w:tc>
          <w:tcPr>
            <w:tcW w:w="1441" w:type="dxa"/>
            <w:vAlign w:val="center"/>
          </w:tcPr>
          <w:p>
            <w:pPr>
              <w:jc w:val="center"/>
              <w:rPr>
                <w:szCs w:val="21"/>
              </w:rPr>
            </w:pPr>
          </w:p>
        </w:tc>
        <w:tc>
          <w:tcPr>
            <w:tcW w:w="2043" w:type="dxa"/>
            <w:vMerge w:val="continue"/>
            <w:vAlign w:val="center"/>
          </w:tcPr>
          <w:p>
            <w:pPr>
              <w:jc w:val="center"/>
              <w:rPr>
                <w:szCs w:val="21"/>
              </w:rPr>
            </w:pPr>
          </w:p>
        </w:tc>
      </w:tr>
    </w:tbl>
    <w:p>
      <w:pPr>
        <w:pStyle w:val="49"/>
        <w:numPr>
          <w:ilvl w:val="0"/>
          <w:numId w:val="5"/>
        </w:numPr>
        <w:tabs>
          <w:tab w:val="right" w:pos="9360"/>
          <w:tab w:val="right" w:pos="9450"/>
          <w:tab w:val="right" w:leader="dot" w:pos="11340"/>
          <w:tab w:val="right" w:pos="14742"/>
        </w:tabs>
        <w:autoSpaceDE w:val="0"/>
        <w:autoSpaceDN w:val="0"/>
        <w:adjustRightInd w:val="0"/>
        <w:spacing w:before="120" w:beforeLines="50" w:line="360" w:lineRule="auto"/>
        <w:ind w:left="777" w:hanging="357" w:firstLineChars="0"/>
        <w:jc w:val="left"/>
        <w:rPr>
          <w:rFonts w:ascii="Times New Roman" w:hAnsi="Times New Roman"/>
          <w:kern w:val="0"/>
          <w:szCs w:val="21"/>
        </w:rPr>
      </w:pPr>
      <w:r>
        <w:rPr>
          <w:rFonts w:ascii="Times New Roman" w:hAnsi="Times New Roman" w:eastAsia="黑体"/>
          <w:szCs w:val="21"/>
        </w:rPr>
        <w:t>拉伸力相对误差</w:t>
      </w:r>
      <w:r>
        <w:rPr>
          <w:rFonts w:ascii="Times New Roman" w:hAnsi="Times New Roman"/>
          <w:szCs w:val="21"/>
        </w:rPr>
        <w:t xml:space="preserve">                                                   </w:t>
      </w:r>
    </w:p>
    <w:p>
      <w:pPr>
        <w:pStyle w:val="49"/>
        <w:tabs>
          <w:tab w:val="right" w:pos="9360"/>
          <w:tab w:val="right" w:pos="9450"/>
          <w:tab w:val="right" w:leader="dot" w:pos="11340"/>
          <w:tab w:val="right" w:pos="14742"/>
        </w:tabs>
        <w:autoSpaceDE w:val="0"/>
        <w:autoSpaceDN w:val="0"/>
        <w:adjustRightInd w:val="0"/>
        <w:spacing w:before="120" w:beforeLines="50" w:line="360" w:lineRule="auto"/>
        <w:ind w:left="777" w:right="630" w:firstLine="0" w:firstLineChars="0"/>
        <w:jc w:val="right"/>
        <w:rPr>
          <w:rFonts w:ascii="Times New Roman" w:hAnsi="Times New Roman"/>
          <w:kern w:val="0"/>
          <w:szCs w:val="21"/>
        </w:rPr>
      </w:pPr>
      <w:r>
        <w:rPr>
          <w:rFonts w:ascii="Times New Roman" w:hAnsi="Times New Roman"/>
          <w:szCs w:val="21"/>
        </w:rPr>
        <w:t>单位：N</w:t>
      </w:r>
    </w:p>
    <w:tbl>
      <w:tblPr>
        <w:tblStyle w:val="22"/>
        <w:tblW w:w="9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
        <w:gridCol w:w="1417"/>
        <w:gridCol w:w="2410"/>
        <w:gridCol w:w="2126"/>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69" w:type="dxa"/>
            <w:vAlign w:val="center"/>
          </w:tcPr>
          <w:p>
            <w:pPr>
              <w:jc w:val="center"/>
              <w:rPr>
                <w:szCs w:val="21"/>
              </w:rPr>
            </w:pPr>
            <w:r>
              <w:rPr>
                <w:szCs w:val="21"/>
              </w:rPr>
              <w:t>校准点</w:t>
            </w:r>
          </w:p>
        </w:tc>
        <w:tc>
          <w:tcPr>
            <w:tcW w:w="1417" w:type="dxa"/>
            <w:vAlign w:val="center"/>
          </w:tcPr>
          <w:p>
            <w:pPr>
              <w:jc w:val="center"/>
              <w:rPr>
                <w:szCs w:val="21"/>
              </w:rPr>
            </w:pPr>
            <w:r>
              <w:rPr>
                <w:szCs w:val="21"/>
              </w:rPr>
              <w:t>标准测力仪测得力值</w:t>
            </w:r>
          </w:p>
        </w:tc>
        <w:tc>
          <w:tcPr>
            <w:tcW w:w="2410" w:type="dxa"/>
            <w:vAlign w:val="center"/>
          </w:tcPr>
          <w:p>
            <w:pPr>
              <w:jc w:val="center"/>
              <w:rPr>
                <w:szCs w:val="21"/>
              </w:rPr>
            </w:pPr>
            <w:r>
              <w:rPr>
                <w:szCs w:val="21"/>
              </w:rPr>
              <w:t>延度试验仪显示力值</w:t>
            </w:r>
          </w:p>
        </w:tc>
        <w:tc>
          <w:tcPr>
            <w:tcW w:w="2126" w:type="dxa"/>
            <w:vAlign w:val="center"/>
          </w:tcPr>
          <w:p>
            <w:pPr>
              <w:jc w:val="center"/>
              <w:rPr>
                <w:szCs w:val="21"/>
              </w:rPr>
            </w:pPr>
            <w:r>
              <w:rPr>
                <w:kern w:val="0"/>
                <w:szCs w:val="21"/>
              </w:rPr>
              <w:t>示值误差（%）</w:t>
            </w:r>
          </w:p>
        </w:tc>
        <w:tc>
          <w:tcPr>
            <w:tcW w:w="2141" w:type="dxa"/>
            <w:vAlign w:val="center"/>
          </w:tcPr>
          <w:p>
            <w:pPr>
              <w:jc w:val="center"/>
              <w:rPr>
                <w:szCs w:val="21"/>
              </w:rPr>
            </w:pPr>
            <w:r>
              <w:rPr>
                <w:kern w:val="0"/>
                <w:szCs w:val="21"/>
              </w:rPr>
              <w:t>相对</w:t>
            </w:r>
            <w:r>
              <w:rPr>
                <w:szCs w:val="21"/>
              </w:rPr>
              <w:t>扩展不确定度</w:t>
            </w:r>
            <w:r>
              <w:rPr>
                <w:kern w:val="0"/>
                <w:szCs w:val="21"/>
              </w:rPr>
              <w:t>（%，</w:t>
            </w:r>
            <w:r>
              <w:rPr>
                <w:i/>
                <w:szCs w:val="21"/>
              </w:rPr>
              <w:t>k</w:t>
            </w:r>
            <w:r>
              <w:rPr>
                <w:szCs w:val="21"/>
              </w:rPr>
              <w:t>=2</w:t>
            </w:r>
            <w:r>
              <w:rP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969" w:type="dxa"/>
            <w:vAlign w:val="center"/>
          </w:tcPr>
          <w:p>
            <w:pPr>
              <w:jc w:val="center"/>
              <w:rPr>
                <w:szCs w:val="21"/>
              </w:rPr>
            </w:pPr>
          </w:p>
        </w:tc>
        <w:tc>
          <w:tcPr>
            <w:tcW w:w="1417" w:type="dxa"/>
            <w:vAlign w:val="center"/>
          </w:tcPr>
          <w:p>
            <w:pPr>
              <w:jc w:val="center"/>
              <w:rPr>
                <w:szCs w:val="21"/>
              </w:rPr>
            </w:pPr>
          </w:p>
        </w:tc>
        <w:tc>
          <w:tcPr>
            <w:tcW w:w="2410" w:type="dxa"/>
            <w:vAlign w:val="center"/>
          </w:tcPr>
          <w:p>
            <w:pPr>
              <w:jc w:val="center"/>
              <w:rPr>
                <w:szCs w:val="21"/>
              </w:rPr>
            </w:pPr>
          </w:p>
        </w:tc>
        <w:tc>
          <w:tcPr>
            <w:tcW w:w="2126" w:type="dxa"/>
            <w:vAlign w:val="center"/>
          </w:tcPr>
          <w:p>
            <w:pPr>
              <w:jc w:val="center"/>
              <w:rPr>
                <w:szCs w:val="21"/>
              </w:rPr>
            </w:pPr>
          </w:p>
        </w:tc>
        <w:tc>
          <w:tcPr>
            <w:tcW w:w="2141"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969" w:type="dxa"/>
            <w:vAlign w:val="center"/>
          </w:tcPr>
          <w:p>
            <w:pPr>
              <w:jc w:val="center"/>
              <w:rPr>
                <w:szCs w:val="21"/>
              </w:rPr>
            </w:pPr>
          </w:p>
        </w:tc>
        <w:tc>
          <w:tcPr>
            <w:tcW w:w="1417" w:type="dxa"/>
            <w:vAlign w:val="center"/>
          </w:tcPr>
          <w:p>
            <w:pPr>
              <w:jc w:val="center"/>
              <w:rPr>
                <w:szCs w:val="21"/>
              </w:rPr>
            </w:pPr>
          </w:p>
        </w:tc>
        <w:tc>
          <w:tcPr>
            <w:tcW w:w="2410" w:type="dxa"/>
            <w:vAlign w:val="center"/>
          </w:tcPr>
          <w:p>
            <w:pPr>
              <w:jc w:val="center"/>
              <w:rPr>
                <w:szCs w:val="21"/>
              </w:rPr>
            </w:pPr>
          </w:p>
        </w:tc>
        <w:tc>
          <w:tcPr>
            <w:tcW w:w="2126" w:type="dxa"/>
            <w:vAlign w:val="center"/>
          </w:tcPr>
          <w:p>
            <w:pPr>
              <w:jc w:val="center"/>
              <w:rPr>
                <w:szCs w:val="21"/>
              </w:rPr>
            </w:pPr>
          </w:p>
        </w:tc>
        <w:tc>
          <w:tcPr>
            <w:tcW w:w="2141"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969" w:type="dxa"/>
            <w:vAlign w:val="center"/>
          </w:tcPr>
          <w:p>
            <w:pPr>
              <w:jc w:val="center"/>
              <w:rPr>
                <w:szCs w:val="21"/>
              </w:rPr>
            </w:pPr>
          </w:p>
        </w:tc>
        <w:tc>
          <w:tcPr>
            <w:tcW w:w="1417" w:type="dxa"/>
            <w:vAlign w:val="center"/>
          </w:tcPr>
          <w:p>
            <w:pPr>
              <w:jc w:val="center"/>
              <w:rPr>
                <w:szCs w:val="21"/>
              </w:rPr>
            </w:pPr>
          </w:p>
        </w:tc>
        <w:tc>
          <w:tcPr>
            <w:tcW w:w="2410" w:type="dxa"/>
            <w:vAlign w:val="center"/>
          </w:tcPr>
          <w:p>
            <w:pPr>
              <w:jc w:val="center"/>
              <w:rPr>
                <w:szCs w:val="21"/>
              </w:rPr>
            </w:pPr>
          </w:p>
        </w:tc>
        <w:tc>
          <w:tcPr>
            <w:tcW w:w="2126" w:type="dxa"/>
            <w:vAlign w:val="center"/>
          </w:tcPr>
          <w:p>
            <w:pPr>
              <w:jc w:val="center"/>
              <w:rPr>
                <w:szCs w:val="21"/>
              </w:rPr>
            </w:pPr>
          </w:p>
        </w:tc>
        <w:tc>
          <w:tcPr>
            <w:tcW w:w="2141"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969" w:type="dxa"/>
            <w:tcBorders>
              <w:bottom w:val="single" w:color="auto" w:sz="4" w:space="0"/>
            </w:tcBorders>
            <w:vAlign w:val="center"/>
          </w:tcPr>
          <w:p>
            <w:pPr>
              <w:jc w:val="center"/>
              <w:rPr>
                <w:szCs w:val="21"/>
              </w:rPr>
            </w:pPr>
          </w:p>
        </w:tc>
        <w:tc>
          <w:tcPr>
            <w:tcW w:w="1417" w:type="dxa"/>
            <w:tcBorders>
              <w:bottom w:val="single" w:color="auto" w:sz="4" w:space="0"/>
            </w:tcBorders>
            <w:vAlign w:val="center"/>
          </w:tcPr>
          <w:p>
            <w:pPr>
              <w:jc w:val="center"/>
              <w:rPr>
                <w:szCs w:val="21"/>
              </w:rPr>
            </w:pPr>
          </w:p>
        </w:tc>
        <w:tc>
          <w:tcPr>
            <w:tcW w:w="2410" w:type="dxa"/>
            <w:tcBorders>
              <w:bottom w:val="single" w:color="auto" w:sz="4" w:space="0"/>
            </w:tcBorders>
            <w:vAlign w:val="center"/>
          </w:tcPr>
          <w:p>
            <w:pPr>
              <w:jc w:val="center"/>
              <w:rPr>
                <w:szCs w:val="21"/>
              </w:rPr>
            </w:pPr>
          </w:p>
        </w:tc>
        <w:tc>
          <w:tcPr>
            <w:tcW w:w="2126" w:type="dxa"/>
            <w:tcBorders>
              <w:bottom w:val="single" w:color="auto" w:sz="4" w:space="0"/>
            </w:tcBorders>
            <w:vAlign w:val="center"/>
          </w:tcPr>
          <w:p>
            <w:pPr>
              <w:jc w:val="center"/>
              <w:rPr>
                <w:szCs w:val="21"/>
              </w:rPr>
            </w:pPr>
          </w:p>
        </w:tc>
        <w:tc>
          <w:tcPr>
            <w:tcW w:w="2141" w:type="dxa"/>
            <w:tcBorders>
              <w:bottom w:val="single" w:color="auto" w:sz="4" w:space="0"/>
            </w:tcBorders>
            <w:vAlign w:val="center"/>
          </w:tcPr>
          <w:p>
            <w:pPr>
              <w:jc w:val="center"/>
              <w:rPr>
                <w:szCs w:val="21"/>
              </w:rPr>
            </w:pPr>
          </w:p>
        </w:tc>
      </w:tr>
    </w:tbl>
    <w:p>
      <w:pPr>
        <w:pStyle w:val="49"/>
        <w:numPr>
          <w:ilvl w:val="0"/>
          <w:numId w:val="5"/>
        </w:numPr>
        <w:tabs>
          <w:tab w:val="right" w:pos="9360"/>
          <w:tab w:val="right" w:pos="9450"/>
          <w:tab w:val="right" w:leader="dot" w:pos="11340"/>
          <w:tab w:val="right" w:pos="14742"/>
        </w:tabs>
        <w:autoSpaceDE w:val="0"/>
        <w:autoSpaceDN w:val="0"/>
        <w:adjustRightInd w:val="0"/>
        <w:spacing w:before="120" w:beforeLines="50" w:line="360" w:lineRule="auto"/>
        <w:ind w:left="777" w:hanging="357" w:firstLineChars="0"/>
        <w:jc w:val="left"/>
        <w:rPr>
          <w:rFonts w:ascii="Times New Roman" w:hAnsi="Times New Roman" w:eastAsia="黑体"/>
          <w:szCs w:val="21"/>
        </w:rPr>
      </w:pPr>
      <w:r>
        <w:rPr>
          <w:rFonts w:ascii="Times New Roman" w:hAnsi="Times New Roman" w:eastAsia="黑体"/>
          <w:szCs w:val="21"/>
        </w:rPr>
        <w:t xml:space="preserve">试模几何尺寸及粗糙度                                          </w:t>
      </w:r>
      <w:r>
        <w:rPr>
          <w:rFonts w:ascii="Times New Roman" w:hAnsi="Times New Roman"/>
          <w:szCs w:val="21"/>
        </w:rPr>
        <w:t xml:space="preserve">   </w:t>
      </w:r>
    </w:p>
    <w:p>
      <w:pPr>
        <w:pStyle w:val="49"/>
        <w:tabs>
          <w:tab w:val="right" w:pos="9360"/>
          <w:tab w:val="right" w:pos="9450"/>
          <w:tab w:val="right" w:leader="dot" w:pos="11340"/>
          <w:tab w:val="right" w:pos="14742"/>
        </w:tabs>
        <w:autoSpaceDE w:val="0"/>
        <w:autoSpaceDN w:val="0"/>
        <w:adjustRightInd w:val="0"/>
        <w:spacing w:before="120" w:beforeLines="50" w:line="360" w:lineRule="auto"/>
        <w:ind w:left="777" w:right="420" w:firstLine="0" w:firstLineChars="0"/>
        <w:jc w:val="right"/>
        <w:rPr>
          <w:rFonts w:ascii="Times New Roman" w:hAnsi="Times New Roman" w:eastAsia="黑体"/>
          <w:szCs w:val="21"/>
        </w:rPr>
      </w:pPr>
      <w:r>
        <w:rPr>
          <w:rFonts w:ascii="Times New Roman" w:hAnsi="Times New Roman"/>
          <w:szCs w:val="21"/>
        </w:rPr>
        <w:t>单位：mm</w:t>
      </w:r>
      <w:r>
        <w:rPr>
          <w:rFonts w:ascii="Times New Roman" w:hAnsi="Times New Roman" w:eastAsia="黑体"/>
          <w:szCs w:val="21"/>
        </w:rPr>
        <w:t xml:space="preserve">                      </w:t>
      </w:r>
    </w:p>
    <w:tbl>
      <w:tblPr>
        <w:tblStyle w:val="22"/>
        <w:tblW w:w="50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85"/>
        <w:gridCol w:w="1285"/>
        <w:gridCol w:w="1285"/>
        <w:gridCol w:w="1285"/>
        <w:gridCol w:w="1285"/>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440" w:type="dxa"/>
            <w:vMerge w:val="restart"/>
            <w:vAlign w:val="center"/>
          </w:tcPr>
          <w:p>
            <w:pPr>
              <w:jc w:val="center"/>
              <w:rPr>
                <w:szCs w:val="21"/>
              </w:rPr>
            </w:pPr>
            <w:r>
              <w:rPr>
                <w:kern w:val="0"/>
                <w:szCs w:val="21"/>
              </w:rPr>
              <w:t>项目</w:t>
            </w:r>
          </w:p>
        </w:tc>
        <w:tc>
          <w:tcPr>
            <w:tcW w:w="7711" w:type="dxa"/>
            <w:gridSpan w:val="6"/>
            <w:vAlign w:val="center"/>
          </w:tcPr>
          <w:p>
            <w:pPr>
              <w:jc w:val="center"/>
              <w:rPr>
                <w:kern w:val="0"/>
                <w:szCs w:val="21"/>
              </w:rPr>
            </w:pPr>
            <w:r>
              <w:rPr>
                <w:kern w:val="0"/>
                <w:szCs w:val="21"/>
              </w:rPr>
              <w:t>试模类型、编号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440" w:type="dxa"/>
            <w:vMerge w:val="continue"/>
            <w:vAlign w:val="center"/>
          </w:tcPr>
          <w:p>
            <w:pPr>
              <w:jc w:val="center"/>
              <w:rPr>
                <w:kern w:val="0"/>
                <w:szCs w:val="21"/>
              </w:rPr>
            </w:pPr>
          </w:p>
        </w:tc>
        <w:tc>
          <w:tcPr>
            <w:tcW w:w="1285" w:type="dxa"/>
            <w:vAlign w:val="center"/>
          </w:tcPr>
          <w:p>
            <w:pPr>
              <w:jc w:val="center"/>
              <w:rPr>
                <w:kern w:val="0"/>
                <w:szCs w:val="21"/>
              </w:rPr>
            </w:pPr>
          </w:p>
        </w:tc>
        <w:tc>
          <w:tcPr>
            <w:tcW w:w="1285" w:type="dxa"/>
            <w:vAlign w:val="center"/>
          </w:tcPr>
          <w:p>
            <w:pPr>
              <w:jc w:val="center"/>
              <w:rPr>
                <w:kern w:val="0"/>
                <w:szCs w:val="21"/>
              </w:rPr>
            </w:pPr>
          </w:p>
        </w:tc>
        <w:tc>
          <w:tcPr>
            <w:tcW w:w="1285" w:type="dxa"/>
            <w:vAlign w:val="center"/>
          </w:tcPr>
          <w:p>
            <w:pPr>
              <w:jc w:val="center"/>
              <w:rPr>
                <w:kern w:val="0"/>
                <w:szCs w:val="21"/>
              </w:rPr>
            </w:pPr>
          </w:p>
        </w:tc>
        <w:tc>
          <w:tcPr>
            <w:tcW w:w="1285" w:type="dxa"/>
            <w:vAlign w:val="center"/>
          </w:tcPr>
          <w:p>
            <w:pPr>
              <w:jc w:val="center"/>
              <w:rPr>
                <w:kern w:val="0"/>
                <w:szCs w:val="21"/>
              </w:rPr>
            </w:pPr>
          </w:p>
        </w:tc>
        <w:tc>
          <w:tcPr>
            <w:tcW w:w="1285" w:type="dxa"/>
            <w:vAlign w:val="center"/>
          </w:tcPr>
          <w:p>
            <w:pPr>
              <w:jc w:val="center"/>
              <w:rPr>
                <w:kern w:val="0"/>
                <w:szCs w:val="21"/>
              </w:rPr>
            </w:pPr>
          </w:p>
        </w:tc>
        <w:tc>
          <w:tcPr>
            <w:tcW w:w="1285" w:type="dxa"/>
            <w:vAlign w:val="center"/>
          </w:tcPr>
          <w:p>
            <w:pPr>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1440" w:type="dxa"/>
            <w:vAlign w:val="center"/>
          </w:tcPr>
          <w:p>
            <w:pPr>
              <w:jc w:val="center"/>
              <w:rPr>
                <w:szCs w:val="21"/>
              </w:rPr>
            </w:pPr>
            <w:r>
              <w:rPr>
                <w:szCs w:val="21"/>
              </w:rPr>
              <w:t>试件总长</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440" w:type="dxa"/>
            <w:vAlign w:val="center"/>
          </w:tcPr>
          <w:p>
            <w:pPr>
              <w:jc w:val="center"/>
              <w:rPr>
                <w:szCs w:val="21"/>
              </w:rPr>
            </w:pPr>
            <w:r>
              <w:rPr>
                <w:szCs w:val="21"/>
              </w:rPr>
              <w:t>端模长度</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440" w:type="dxa"/>
            <w:vAlign w:val="center"/>
          </w:tcPr>
          <w:p>
            <w:pPr>
              <w:jc w:val="center"/>
              <w:rPr>
                <w:szCs w:val="21"/>
              </w:rPr>
            </w:pPr>
            <w:r>
              <w:rPr>
                <w:szCs w:val="21"/>
              </w:rPr>
              <w:t>端模间距</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jc w:val="center"/>
        </w:trPr>
        <w:tc>
          <w:tcPr>
            <w:tcW w:w="1440" w:type="dxa"/>
            <w:vAlign w:val="center"/>
          </w:tcPr>
          <w:p>
            <w:pPr>
              <w:jc w:val="center"/>
              <w:rPr>
                <w:szCs w:val="21"/>
              </w:rPr>
            </w:pPr>
            <w:r>
              <w:rPr>
                <w:szCs w:val="21"/>
              </w:rPr>
              <w:t>肩长</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440" w:type="dxa"/>
            <w:vAlign w:val="center"/>
          </w:tcPr>
          <w:p>
            <w:pPr>
              <w:jc w:val="center"/>
              <w:rPr>
                <w:szCs w:val="21"/>
              </w:rPr>
            </w:pPr>
            <w:r>
              <w:rPr>
                <w:szCs w:val="21"/>
              </w:rPr>
              <w:t>最小横断  面宽</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440" w:type="dxa"/>
            <w:vAlign w:val="center"/>
          </w:tcPr>
          <w:p>
            <w:pPr>
              <w:jc w:val="center"/>
              <w:rPr>
                <w:szCs w:val="21"/>
              </w:rPr>
            </w:pPr>
            <w:r>
              <w:rPr>
                <w:szCs w:val="21"/>
              </w:rPr>
              <w:t>端模口宽</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440" w:type="dxa"/>
            <w:vAlign w:val="center"/>
          </w:tcPr>
          <w:p>
            <w:pPr>
              <w:jc w:val="center"/>
              <w:rPr>
                <w:szCs w:val="21"/>
              </w:rPr>
            </w:pPr>
            <w:r>
              <w:rPr>
                <w:szCs w:val="21"/>
              </w:rPr>
              <w:t>厚度</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440" w:type="dxa"/>
            <w:vAlign w:val="center"/>
          </w:tcPr>
          <w:p>
            <w:pPr>
              <w:jc w:val="center"/>
              <w:rPr>
                <w:szCs w:val="21"/>
              </w:rPr>
            </w:pPr>
            <w:r>
              <w:rPr>
                <w:szCs w:val="21"/>
              </w:rPr>
              <w:t>试模内侧粗糙度/μm</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440" w:type="dxa"/>
            <w:vAlign w:val="center"/>
          </w:tcPr>
          <w:p>
            <w:pPr>
              <w:jc w:val="center"/>
              <w:rPr>
                <w:szCs w:val="21"/>
              </w:rPr>
            </w:pPr>
            <w:r>
              <w:rPr>
                <w:szCs w:val="21"/>
              </w:rPr>
              <w:t>底板上表面粗糙度/μm</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r>
    </w:tbl>
    <w:p>
      <w:pPr>
        <w:tabs>
          <w:tab w:val="right" w:pos="9360"/>
          <w:tab w:val="right" w:pos="9450"/>
          <w:tab w:val="right" w:leader="dot" w:pos="11340"/>
          <w:tab w:val="right" w:pos="14742"/>
        </w:tabs>
        <w:autoSpaceDE w:val="0"/>
        <w:autoSpaceDN w:val="0"/>
        <w:adjustRightInd w:val="0"/>
        <w:spacing w:line="360" w:lineRule="auto"/>
        <w:ind w:firstLine="3840" w:firstLineChars="1600"/>
        <w:rPr>
          <w:kern w:val="21"/>
          <w:sz w:val="24"/>
        </w:rPr>
      </w:pPr>
      <w:r>
        <w:rPr>
          <w:kern w:val="21"/>
          <w:sz w:val="24"/>
        </w:rPr>
        <w:t>（以下空白）</w:t>
      </w:r>
    </w:p>
    <w:p>
      <w:pPr>
        <w:pStyle w:val="3"/>
        <w:pageBreakBefore/>
        <w:spacing w:line="360" w:lineRule="auto"/>
        <w:rPr>
          <w:rFonts w:ascii="Times New Roman" w:hAnsi="Times New Roman"/>
          <w:b w:val="0"/>
          <w:sz w:val="28"/>
          <w:szCs w:val="28"/>
        </w:rPr>
      </w:pPr>
      <w:bookmarkStart w:id="30" w:name="_Toc180395276"/>
      <w:r>
        <w:rPr>
          <w:rFonts w:ascii="Times New Roman" w:hAnsi="Times New Roman"/>
          <w:b w:val="0"/>
          <w:sz w:val="28"/>
          <w:szCs w:val="28"/>
        </w:rPr>
        <w:t>附录B</w:t>
      </w:r>
      <w:bookmarkEnd w:id="30"/>
    </w:p>
    <w:p>
      <w:pPr>
        <w:spacing w:line="360" w:lineRule="auto"/>
        <w:jc w:val="center"/>
        <w:rPr>
          <w:rFonts w:eastAsia="黑体"/>
          <w:sz w:val="28"/>
          <w:szCs w:val="28"/>
        </w:rPr>
      </w:pPr>
      <w:r>
        <w:rPr>
          <w:rFonts w:eastAsia="黑体"/>
          <w:sz w:val="28"/>
          <w:szCs w:val="28"/>
        </w:rPr>
        <w:t>校准证书结果页（参考）格式</w:t>
      </w:r>
    </w:p>
    <w:p>
      <w:pPr>
        <w:pStyle w:val="49"/>
        <w:numPr>
          <w:ilvl w:val="0"/>
          <w:numId w:val="6"/>
        </w:numPr>
        <w:tabs>
          <w:tab w:val="right" w:pos="9360"/>
          <w:tab w:val="right" w:pos="9450"/>
          <w:tab w:val="right" w:leader="dot" w:pos="11340"/>
          <w:tab w:val="right" w:pos="14742"/>
        </w:tabs>
        <w:autoSpaceDE w:val="0"/>
        <w:autoSpaceDN w:val="0"/>
        <w:adjustRightInd w:val="0"/>
        <w:spacing w:line="360" w:lineRule="auto"/>
        <w:ind w:firstLineChars="0"/>
        <w:jc w:val="left"/>
        <w:rPr>
          <w:rFonts w:ascii="Times New Roman" w:hAnsi="Times New Roman" w:eastAsia="黑体"/>
          <w:szCs w:val="21"/>
        </w:rPr>
      </w:pPr>
      <w:r>
        <w:rPr>
          <w:rFonts w:ascii="Times New Roman" w:hAnsi="Times New Roman" w:eastAsia="黑体"/>
          <w:szCs w:val="21"/>
        </w:rPr>
        <w:t>温度参数校准结果</w:t>
      </w:r>
    </w:p>
    <w:p>
      <w:pPr>
        <w:pStyle w:val="49"/>
        <w:tabs>
          <w:tab w:val="right" w:pos="9360"/>
          <w:tab w:val="right" w:pos="9450"/>
          <w:tab w:val="right" w:leader="dot" w:pos="11340"/>
          <w:tab w:val="right" w:pos="14742"/>
        </w:tabs>
        <w:autoSpaceDE w:val="0"/>
        <w:autoSpaceDN w:val="0"/>
        <w:adjustRightInd w:val="0"/>
        <w:spacing w:line="360" w:lineRule="auto"/>
        <w:ind w:left="468" w:right="630" w:firstLine="0" w:firstLineChars="0"/>
        <w:jc w:val="right"/>
        <w:rPr>
          <w:rFonts w:ascii="Times New Roman" w:hAnsi="Times New Roman" w:eastAsia="黑体"/>
          <w:szCs w:val="21"/>
        </w:rPr>
      </w:pPr>
      <w:r>
        <w:rPr>
          <w:rFonts w:ascii="Times New Roman" w:hAnsi="Times New Roman"/>
          <w:szCs w:val="21"/>
        </w:rPr>
        <w:t>单位：℃</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992"/>
        <w:gridCol w:w="1418"/>
        <w:gridCol w:w="1418"/>
        <w:gridCol w:w="1418"/>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2"/>
          </w:tcPr>
          <w:p>
            <w:pPr>
              <w:jc w:val="center"/>
              <w:rPr>
                <w:szCs w:val="21"/>
              </w:rPr>
            </w:pPr>
            <w:r>
              <w:rPr>
                <w:szCs w:val="21"/>
              </w:rPr>
              <w:t>校准项目</w:t>
            </w:r>
          </w:p>
        </w:tc>
        <w:tc>
          <w:tcPr>
            <w:tcW w:w="1418" w:type="dxa"/>
          </w:tcPr>
          <w:p>
            <w:pPr>
              <w:jc w:val="center"/>
              <w:rPr>
                <w:szCs w:val="21"/>
              </w:rPr>
            </w:pPr>
            <w:r>
              <w:rPr>
                <w:szCs w:val="21"/>
              </w:rPr>
              <w:t>温度上偏差</w:t>
            </w:r>
          </w:p>
        </w:tc>
        <w:tc>
          <w:tcPr>
            <w:tcW w:w="1418" w:type="dxa"/>
          </w:tcPr>
          <w:p>
            <w:pPr>
              <w:jc w:val="center"/>
              <w:rPr>
                <w:szCs w:val="21"/>
              </w:rPr>
            </w:pPr>
            <w:r>
              <w:rPr>
                <w:szCs w:val="21"/>
              </w:rPr>
              <w:t>温度上偏差</w:t>
            </w:r>
          </w:p>
        </w:tc>
        <w:tc>
          <w:tcPr>
            <w:tcW w:w="1418" w:type="dxa"/>
          </w:tcPr>
          <w:p>
            <w:pPr>
              <w:jc w:val="center"/>
              <w:rPr>
                <w:szCs w:val="21"/>
              </w:rPr>
            </w:pPr>
            <w:r>
              <w:rPr>
                <w:szCs w:val="21"/>
              </w:rPr>
              <w:t>温度均匀度</w:t>
            </w:r>
          </w:p>
        </w:tc>
        <w:tc>
          <w:tcPr>
            <w:tcW w:w="2834" w:type="dxa"/>
          </w:tcPr>
          <w:p>
            <w:pPr>
              <w:jc w:val="center"/>
              <w:rPr>
                <w:szCs w:val="21"/>
              </w:rPr>
            </w:pPr>
            <w:r>
              <w:rPr>
                <w:szCs w:val="21"/>
              </w:rPr>
              <w:t>温度波动度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pPr>
              <w:jc w:val="center"/>
              <w:rPr>
                <w:szCs w:val="21"/>
              </w:rPr>
            </w:pPr>
            <w:r>
              <w:rPr>
                <w:szCs w:val="21"/>
              </w:rPr>
              <w:t>温度校准点</w:t>
            </w:r>
          </w:p>
        </w:tc>
        <w:tc>
          <w:tcPr>
            <w:tcW w:w="992" w:type="dxa"/>
          </w:tcPr>
          <w:p>
            <w:pPr>
              <w:jc w:val="center"/>
              <w:rPr>
                <w:szCs w:val="21"/>
              </w:rPr>
            </w:pPr>
          </w:p>
        </w:tc>
        <w:tc>
          <w:tcPr>
            <w:tcW w:w="1418" w:type="dxa"/>
          </w:tcPr>
          <w:p>
            <w:pPr>
              <w:jc w:val="center"/>
              <w:rPr>
                <w:szCs w:val="21"/>
              </w:rPr>
            </w:pPr>
          </w:p>
        </w:tc>
        <w:tc>
          <w:tcPr>
            <w:tcW w:w="1418" w:type="dxa"/>
          </w:tcPr>
          <w:p>
            <w:pPr>
              <w:jc w:val="center"/>
              <w:rPr>
                <w:szCs w:val="21"/>
              </w:rPr>
            </w:pPr>
          </w:p>
        </w:tc>
        <w:tc>
          <w:tcPr>
            <w:tcW w:w="1418" w:type="dxa"/>
          </w:tcPr>
          <w:p>
            <w:pPr>
              <w:jc w:val="center"/>
              <w:rPr>
                <w:szCs w:val="21"/>
              </w:rPr>
            </w:pPr>
          </w:p>
        </w:tc>
        <w:tc>
          <w:tcPr>
            <w:tcW w:w="283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vMerge w:val="continue"/>
          </w:tcPr>
          <w:p>
            <w:pPr>
              <w:jc w:val="center"/>
              <w:rPr>
                <w:szCs w:val="21"/>
              </w:rPr>
            </w:pPr>
          </w:p>
        </w:tc>
        <w:tc>
          <w:tcPr>
            <w:tcW w:w="992" w:type="dxa"/>
          </w:tcPr>
          <w:p>
            <w:pPr>
              <w:jc w:val="center"/>
              <w:rPr>
                <w:szCs w:val="21"/>
              </w:rPr>
            </w:pPr>
          </w:p>
        </w:tc>
        <w:tc>
          <w:tcPr>
            <w:tcW w:w="1418" w:type="dxa"/>
          </w:tcPr>
          <w:p>
            <w:pPr>
              <w:jc w:val="center"/>
              <w:rPr>
                <w:szCs w:val="21"/>
              </w:rPr>
            </w:pPr>
          </w:p>
        </w:tc>
        <w:tc>
          <w:tcPr>
            <w:tcW w:w="1418" w:type="dxa"/>
          </w:tcPr>
          <w:p>
            <w:pPr>
              <w:jc w:val="center"/>
              <w:rPr>
                <w:szCs w:val="21"/>
              </w:rPr>
            </w:pPr>
          </w:p>
        </w:tc>
        <w:tc>
          <w:tcPr>
            <w:tcW w:w="1418" w:type="dxa"/>
          </w:tcPr>
          <w:p>
            <w:pPr>
              <w:jc w:val="center"/>
              <w:rPr>
                <w:szCs w:val="21"/>
              </w:rPr>
            </w:pPr>
          </w:p>
        </w:tc>
        <w:tc>
          <w:tcPr>
            <w:tcW w:w="283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tcPr>
          <w:p>
            <w:pPr>
              <w:jc w:val="center"/>
              <w:rPr>
                <w:szCs w:val="21"/>
              </w:rPr>
            </w:pPr>
          </w:p>
        </w:tc>
        <w:tc>
          <w:tcPr>
            <w:tcW w:w="992" w:type="dxa"/>
          </w:tcPr>
          <w:p>
            <w:pPr>
              <w:jc w:val="center"/>
              <w:rPr>
                <w:szCs w:val="21"/>
              </w:rPr>
            </w:pPr>
          </w:p>
        </w:tc>
        <w:tc>
          <w:tcPr>
            <w:tcW w:w="1418" w:type="dxa"/>
          </w:tcPr>
          <w:p>
            <w:pPr>
              <w:jc w:val="center"/>
              <w:rPr>
                <w:szCs w:val="21"/>
              </w:rPr>
            </w:pPr>
          </w:p>
        </w:tc>
        <w:tc>
          <w:tcPr>
            <w:tcW w:w="1418" w:type="dxa"/>
          </w:tcPr>
          <w:p>
            <w:pPr>
              <w:jc w:val="center"/>
              <w:rPr>
                <w:szCs w:val="21"/>
              </w:rPr>
            </w:pPr>
          </w:p>
        </w:tc>
        <w:tc>
          <w:tcPr>
            <w:tcW w:w="1418" w:type="dxa"/>
          </w:tcPr>
          <w:p>
            <w:pPr>
              <w:jc w:val="center"/>
              <w:rPr>
                <w:szCs w:val="21"/>
              </w:rPr>
            </w:pPr>
          </w:p>
        </w:tc>
        <w:tc>
          <w:tcPr>
            <w:tcW w:w="283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tcPr>
          <w:p>
            <w:pPr>
              <w:jc w:val="center"/>
              <w:rPr>
                <w:szCs w:val="21"/>
              </w:rPr>
            </w:pPr>
          </w:p>
        </w:tc>
        <w:tc>
          <w:tcPr>
            <w:tcW w:w="992" w:type="dxa"/>
          </w:tcPr>
          <w:p>
            <w:pPr>
              <w:jc w:val="center"/>
              <w:rPr>
                <w:szCs w:val="21"/>
              </w:rPr>
            </w:pPr>
          </w:p>
        </w:tc>
        <w:tc>
          <w:tcPr>
            <w:tcW w:w="1418" w:type="dxa"/>
          </w:tcPr>
          <w:p>
            <w:pPr>
              <w:jc w:val="center"/>
              <w:rPr>
                <w:szCs w:val="21"/>
              </w:rPr>
            </w:pPr>
          </w:p>
        </w:tc>
        <w:tc>
          <w:tcPr>
            <w:tcW w:w="1418" w:type="dxa"/>
          </w:tcPr>
          <w:p>
            <w:pPr>
              <w:jc w:val="center"/>
              <w:rPr>
                <w:szCs w:val="21"/>
              </w:rPr>
            </w:pPr>
          </w:p>
        </w:tc>
        <w:tc>
          <w:tcPr>
            <w:tcW w:w="1418" w:type="dxa"/>
          </w:tcPr>
          <w:p>
            <w:pPr>
              <w:jc w:val="center"/>
              <w:rPr>
                <w:szCs w:val="21"/>
              </w:rPr>
            </w:pPr>
          </w:p>
        </w:tc>
        <w:tc>
          <w:tcPr>
            <w:tcW w:w="283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tcPr>
          <w:p>
            <w:pPr>
              <w:jc w:val="center"/>
              <w:rPr>
                <w:szCs w:val="21"/>
              </w:rPr>
            </w:pPr>
          </w:p>
        </w:tc>
        <w:tc>
          <w:tcPr>
            <w:tcW w:w="8080" w:type="dxa"/>
            <w:gridSpan w:val="5"/>
          </w:tcPr>
          <w:p>
            <w:pPr>
              <w:jc w:val="left"/>
              <w:rPr>
                <w:szCs w:val="21"/>
              </w:rPr>
            </w:pPr>
            <w:r>
              <w:rPr>
                <w:szCs w:val="21"/>
              </w:rPr>
              <w:t>温度偏差扩展不确定度（</w:t>
            </w:r>
            <w:r>
              <w:rPr>
                <w:i/>
                <w:szCs w:val="21"/>
              </w:rPr>
              <w:t>k</w:t>
            </w:r>
            <w:r>
              <w:rPr>
                <w:szCs w:val="21"/>
              </w:rPr>
              <w:t>=2）</w:t>
            </w:r>
          </w:p>
        </w:tc>
      </w:tr>
    </w:tbl>
    <w:p>
      <w:pPr>
        <w:pStyle w:val="49"/>
        <w:numPr>
          <w:ilvl w:val="0"/>
          <w:numId w:val="6"/>
        </w:numPr>
        <w:tabs>
          <w:tab w:val="right" w:pos="9360"/>
          <w:tab w:val="right" w:pos="9450"/>
          <w:tab w:val="right" w:leader="dot" w:pos="11340"/>
          <w:tab w:val="right" w:pos="14742"/>
        </w:tabs>
        <w:autoSpaceDE w:val="0"/>
        <w:autoSpaceDN w:val="0"/>
        <w:adjustRightInd w:val="0"/>
        <w:spacing w:before="120" w:beforeLines="50" w:line="360" w:lineRule="auto"/>
        <w:ind w:left="1139" w:hanging="357" w:firstLineChars="0"/>
        <w:jc w:val="left"/>
        <w:rPr>
          <w:rFonts w:ascii="Times New Roman" w:hAnsi="Times New Roman" w:eastAsia="黑体"/>
          <w:szCs w:val="21"/>
        </w:rPr>
      </w:pPr>
      <w:r>
        <w:rPr>
          <w:rFonts w:ascii="Times New Roman" w:hAnsi="Times New Roman" w:eastAsia="黑体"/>
          <w:szCs w:val="21"/>
        </w:rPr>
        <w:t>拉伸装置示值误差校准结果</w:t>
      </w:r>
    </w:p>
    <w:p>
      <w:pPr>
        <w:pStyle w:val="49"/>
        <w:tabs>
          <w:tab w:val="right" w:pos="9360"/>
          <w:tab w:val="right" w:pos="9450"/>
          <w:tab w:val="right" w:leader="dot" w:pos="11340"/>
          <w:tab w:val="right" w:pos="14742"/>
        </w:tabs>
        <w:autoSpaceDE w:val="0"/>
        <w:autoSpaceDN w:val="0"/>
        <w:adjustRightInd w:val="0"/>
        <w:spacing w:line="360" w:lineRule="auto"/>
        <w:ind w:left="468" w:right="420" w:firstLine="0" w:firstLineChars="0"/>
        <w:jc w:val="right"/>
        <w:rPr>
          <w:rFonts w:ascii="Times New Roman" w:hAnsi="Times New Roman" w:eastAsia="黑体"/>
          <w:szCs w:val="21"/>
        </w:rPr>
      </w:pPr>
      <w:r>
        <w:rPr>
          <w:rFonts w:ascii="Times New Roman" w:hAnsi="Times New Roman"/>
          <w:szCs w:val="21"/>
        </w:rPr>
        <w:t>单位：mm</w:t>
      </w:r>
    </w:p>
    <w:tbl>
      <w:tblPr>
        <w:tblStyle w:val="22"/>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4"/>
        <w:gridCol w:w="1505"/>
        <w:gridCol w:w="1417"/>
        <w:gridCol w:w="1418"/>
        <w:gridCol w:w="3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2"/>
          </w:tcPr>
          <w:p>
            <w:pPr>
              <w:jc w:val="center"/>
              <w:rPr>
                <w:szCs w:val="21"/>
              </w:rPr>
            </w:pPr>
            <w:r>
              <w:rPr>
                <w:szCs w:val="21"/>
              </w:rPr>
              <w:t>校准项目</w:t>
            </w:r>
          </w:p>
        </w:tc>
        <w:tc>
          <w:tcPr>
            <w:tcW w:w="1417" w:type="dxa"/>
            <w:vMerge w:val="restart"/>
          </w:tcPr>
          <w:p>
            <w:pPr>
              <w:jc w:val="center"/>
              <w:rPr>
                <w:szCs w:val="21"/>
              </w:rPr>
            </w:pPr>
            <w:r>
              <w:rPr>
                <w:kern w:val="0"/>
                <w:szCs w:val="21"/>
              </w:rPr>
              <w:t>示值误差</w:t>
            </w:r>
          </w:p>
        </w:tc>
        <w:tc>
          <w:tcPr>
            <w:tcW w:w="1418" w:type="dxa"/>
            <w:vMerge w:val="restart"/>
          </w:tcPr>
          <w:p>
            <w:pPr>
              <w:jc w:val="center"/>
              <w:rPr>
                <w:szCs w:val="21"/>
              </w:rPr>
            </w:pPr>
            <w:r>
              <w:rPr>
                <w:szCs w:val="21"/>
              </w:rPr>
              <w:t>校准结果</w:t>
            </w:r>
          </w:p>
        </w:tc>
        <w:tc>
          <w:tcPr>
            <w:tcW w:w="3515" w:type="dxa"/>
            <w:vMerge w:val="restart"/>
          </w:tcPr>
          <w:p>
            <w:pPr>
              <w:jc w:val="center"/>
              <w:rPr>
                <w:szCs w:val="21"/>
              </w:rPr>
            </w:pPr>
            <w:r>
              <w:rPr>
                <w:szCs w:val="21"/>
              </w:rPr>
              <w:t>扩展不确定度（</w:t>
            </w:r>
            <w:r>
              <w:rPr>
                <w:i/>
                <w:szCs w:val="21"/>
              </w:rPr>
              <w:t>k</w:t>
            </w: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Merge w:val="restart"/>
            <w:vAlign w:val="center"/>
          </w:tcPr>
          <w:p>
            <w:pPr>
              <w:jc w:val="center"/>
              <w:rPr>
                <w:szCs w:val="21"/>
              </w:rPr>
            </w:pPr>
            <w:r>
              <w:rPr>
                <w:kern w:val="0"/>
                <w:szCs w:val="21"/>
              </w:rPr>
              <w:t>拉伸装置示值误差</w:t>
            </w:r>
          </w:p>
        </w:tc>
        <w:tc>
          <w:tcPr>
            <w:tcW w:w="1505" w:type="dxa"/>
          </w:tcPr>
          <w:p>
            <w:pPr>
              <w:jc w:val="center"/>
              <w:rPr>
                <w:szCs w:val="21"/>
              </w:rPr>
            </w:pPr>
            <w:r>
              <w:rPr>
                <w:szCs w:val="21"/>
              </w:rPr>
              <w:t>拉伸长度</w:t>
            </w:r>
          </w:p>
        </w:tc>
        <w:tc>
          <w:tcPr>
            <w:tcW w:w="1417" w:type="dxa"/>
            <w:vMerge w:val="continue"/>
          </w:tcPr>
          <w:p>
            <w:pPr>
              <w:jc w:val="center"/>
              <w:rPr>
                <w:szCs w:val="21"/>
              </w:rPr>
            </w:pPr>
          </w:p>
        </w:tc>
        <w:tc>
          <w:tcPr>
            <w:tcW w:w="1418" w:type="dxa"/>
            <w:vMerge w:val="continue"/>
          </w:tcPr>
          <w:p>
            <w:pPr>
              <w:jc w:val="center"/>
              <w:rPr>
                <w:szCs w:val="21"/>
              </w:rPr>
            </w:pPr>
          </w:p>
        </w:tc>
        <w:tc>
          <w:tcPr>
            <w:tcW w:w="3515" w:type="dxa"/>
            <w:vMerge w:val="continue"/>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Merge w:val="continue"/>
          </w:tcPr>
          <w:p>
            <w:pPr>
              <w:jc w:val="center"/>
              <w:rPr>
                <w:szCs w:val="21"/>
              </w:rPr>
            </w:pPr>
          </w:p>
        </w:tc>
        <w:tc>
          <w:tcPr>
            <w:tcW w:w="1505" w:type="dxa"/>
          </w:tcPr>
          <w:p>
            <w:pPr>
              <w:jc w:val="center"/>
              <w:rPr>
                <w:szCs w:val="21"/>
              </w:rPr>
            </w:pPr>
          </w:p>
        </w:tc>
        <w:tc>
          <w:tcPr>
            <w:tcW w:w="1417" w:type="dxa"/>
          </w:tcPr>
          <w:p>
            <w:pPr>
              <w:jc w:val="center"/>
              <w:rPr>
                <w:szCs w:val="21"/>
              </w:rPr>
            </w:pPr>
          </w:p>
        </w:tc>
        <w:tc>
          <w:tcPr>
            <w:tcW w:w="1418" w:type="dxa"/>
            <w:vMerge w:val="restart"/>
          </w:tcPr>
          <w:p>
            <w:pPr>
              <w:jc w:val="center"/>
              <w:rPr>
                <w:szCs w:val="21"/>
              </w:rPr>
            </w:pPr>
          </w:p>
        </w:tc>
        <w:tc>
          <w:tcPr>
            <w:tcW w:w="3515" w:type="dxa"/>
            <w:vMerge w:val="restart"/>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Merge w:val="continue"/>
          </w:tcPr>
          <w:p>
            <w:pPr>
              <w:jc w:val="center"/>
              <w:rPr>
                <w:szCs w:val="21"/>
              </w:rPr>
            </w:pPr>
          </w:p>
        </w:tc>
        <w:tc>
          <w:tcPr>
            <w:tcW w:w="1505" w:type="dxa"/>
          </w:tcPr>
          <w:p>
            <w:pPr>
              <w:jc w:val="center"/>
              <w:rPr>
                <w:szCs w:val="21"/>
              </w:rPr>
            </w:pPr>
          </w:p>
        </w:tc>
        <w:tc>
          <w:tcPr>
            <w:tcW w:w="1417" w:type="dxa"/>
          </w:tcPr>
          <w:p>
            <w:pPr>
              <w:jc w:val="center"/>
              <w:rPr>
                <w:szCs w:val="21"/>
              </w:rPr>
            </w:pPr>
          </w:p>
        </w:tc>
        <w:tc>
          <w:tcPr>
            <w:tcW w:w="1418" w:type="dxa"/>
            <w:vMerge w:val="continue"/>
          </w:tcPr>
          <w:p>
            <w:pPr>
              <w:jc w:val="center"/>
              <w:rPr>
                <w:szCs w:val="21"/>
              </w:rPr>
            </w:pPr>
          </w:p>
        </w:tc>
        <w:tc>
          <w:tcPr>
            <w:tcW w:w="3515" w:type="dxa"/>
            <w:vMerge w:val="continue"/>
          </w:tcPr>
          <w:p>
            <w:pPr>
              <w:jc w:val="center"/>
              <w:rPr>
                <w:szCs w:val="21"/>
              </w:rPr>
            </w:pPr>
          </w:p>
        </w:tc>
      </w:tr>
    </w:tbl>
    <w:p>
      <w:pPr>
        <w:pStyle w:val="49"/>
        <w:numPr>
          <w:ilvl w:val="0"/>
          <w:numId w:val="6"/>
        </w:numPr>
        <w:tabs>
          <w:tab w:val="right" w:pos="9360"/>
          <w:tab w:val="right" w:pos="9450"/>
          <w:tab w:val="right" w:leader="dot" w:pos="11340"/>
          <w:tab w:val="right" w:pos="14742"/>
        </w:tabs>
        <w:autoSpaceDE w:val="0"/>
        <w:autoSpaceDN w:val="0"/>
        <w:adjustRightInd w:val="0"/>
        <w:spacing w:before="120" w:beforeLines="50" w:line="360" w:lineRule="auto"/>
        <w:ind w:left="1139" w:hanging="357" w:firstLineChars="0"/>
        <w:jc w:val="left"/>
        <w:rPr>
          <w:rFonts w:ascii="Times New Roman" w:hAnsi="Times New Roman" w:eastAsia="黑体"/>
          <w:szCs w:val="21"/>
        </w:rPr>
      </w:pPr>
      <w:r>
        <w:rPr>
          <w:rFonts w:ascii="Times New Roman" w:hAnsi="Times New Roman" w:eastAsia="黑体"/>
          <w:szCs w:val="21"/>
        </w:rPr>
        <w:t>拉伸速度校准结果</w:t>
      </w:r>
    </w:p>
    <w:tbl>
      <w:tblPr>
        <w:tblStyle w:val="22"/>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693"/>
        <w:gridCol w:w="2581"/>
        <w:gridCol w:w="2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jc w:val="center"/>
              <w:rPr>
                <w:szCs w:val="21"/>
              </w:rPr>
            </w:pPr>
            <w:r>
              <w:rPr>
                <w:szCs w:val="21"/>
              </w:rPr>
              <w:t>校准项目</w:t>
            </w:r>
          </w:p>
        </w:tc>
        <w:tc>
          <w:tcPr>
            <w:tcW w:w="2693" w:type="dxa"/>
          </w:tcPr>
          <w:p>
            <w:pPr>
              <w:jc w:val="center"/>
              <w:rPr>
                <w:szCs w:val="21"/>
              </w:rPr>
            </w:pPr>
            <w:r>
              <w:rPr>
                <w:kern w:val="0"/>
                <w:szCs w:val="21"/>
              </w:rPr>
              <w:t>设定拉伸速度（mm/min）</w:t>
            </w:r>
          </w:p>
        </w:tc>
        <w:tc>
          <w:tcPr>
            <w:tcW w:w="2581" w:type="dxa"/>
          </w:tcPr>
          <w:p>
            <w:pPr>
              <w:jc w:val="center"/>
              <w:rPr>
                <w:kern w:val="0"/>
                <w:szCs w:val="21"/>
              </w:rPr>
            </w:pPr>
            <w:r>
              <w:rPr>
                <w:kern w:val="0"/>
                <w:szCs w:val="21"/>
              </w:rPr>
              <w:t>平均拉伸速度（mm/min）</w:t>
            </w:r>
          </w:p>
        </w:tc>
        <w:tc>
          <w:tcPr>
            <w:tcW w:w="2381" w:type="dxa"/>
          </w:tcPr>
          <w:p>
            <w:pPr>
              <w:jc w:val="center"/>
              <w:rPr>
                <w:szCs w:val="21"/>
              </w:rPr>
            </w:pPr>
            <w:r>
              <w:rPr>
                <w:kern w:val="0"/>
                <w:szCs w:val="21"/>
              </w:rPr>
              <w:t>相对误差（%）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vAlign w:val="center"/>
          </w:tcPr>
          <w:p>
            <w:pPr>
              <w:jc w:val="center"/>
              <w:rPr>
                <w:szCs w:val="21"/>
              </w:rPr>
            </w:pPr>
            <w:r>
              <w:rPr>
                <w:kern w:val="0"/>
                <w:szCs w:val="21"/>
              </w:rPr>
              <w:t>拉伸速度</w:t>
            </w:r>
          </w:p>
        </w:tc>
        <w:tc>
          <w:tcPr>
            <w:tcW w:w="2693" w:type="dxa"/>
          </w:tcPr>
          <w:p>
            <w:pPr>
              <w:jc w:val="center"/>
              <w:rPr>
                <w:szCs w:val="21"/>
              </w:rPr>
            </w:pPr>
          </w:p>
        </w:tc>
        <w:tc>
          <w:tcPr>
            <w:tcW w:w="2581" w:type="dxa"/>
          </w:tcPr>
          <w:p>
            <w:pPr>
              <w:jc w:val="center"/>
              <w:rPr>
                <w:szCs w:val="21"/>
              </w:rPr>
            </w:pPr>
          </w:p>
        </w:tc>
        <w:tc>
          <w:tcPr>
            <w:tcW w:w="2381"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pPr>
              <w:jc w:val="center"/>
              <w:rPr>
                <w:kern w:val="0"/>
                <w:szCs w:val="21"/>
              </w:rPr>
            </w:pPr>
          </w:p>
        </w:tc>
        <w:tc>
          <w:tcPr>
            <w:tcW w:w="2693" w:type="dxa"/>
          </w:tcPr>
          <w:p>
            <w:pPr>
              <w:jc w:val="center"/>
              <w:rPr>
                <w:szCs w:val="21"/>
              </w:rPr>
            </w:pPr>
          </w:p>
        </w:tc>
        <w:tc>
          <w:tcPr>
            <w:tcW w:w="2581" w:type="dxa"/>
          </w:tcPr>
          <w:p>
            <w:pPr>
              <w:jc w:val="center"/>
              <w:rPr>
                <w:szCs w:val="21"/>
              </w:rPr>
            </w:pPr>
          </w:p>
        </w:tc>
        <w:tc>
          <w:tcPr>
            <w:tcW w:w="2381" w:type="dxa"/>
          </w:tcPr>
          <w:p>
            <w:pPr>
              <w:jc w:val="center"/>
              <w:rPr>
                <w:szCs w:val="21"/>
              </w:rPr>
            </w:pPr>
          </w:p>
        </w:tc>
      </w:tr>
    </w:tbl>
    <w:p>
      <w:pPr>
        <w:pStyle w:val="49"/>
        <w:numPr>
          <w:ilvl w:val="0"/>
          <w:numId w:val="6"/>
        </w:numPr>
        <w:tabs>
          <w:tab w:val="right" w:pos="9360"/>
          <w:tab w:val="right" w:pos="9450"/>
          <w:tab w:val="right" w:leader="dot" w:pos="11340"/>
          <w:tab w:val="right" w:pos="14742"/>
        </w:tabs>
        <w:autoSpaceDE w:val="0"/>
        <w:autoSpaceDN w:val="0"/>
        <w:adjustRightInd w:val="0"/>
        <w:spacing w:before="120" w:beforeLines="50" w:line="360" w:lineRule="auto"/>
        <w:ind w:left="1139" w:hanging="357" w:firstLineChars="0"/>
        <w:jc w:val="left"/>
        <w:rPr>
          <w:rFonts w:ascii="Times New Roman" w:hAnsi="Times New Roman" w:eastAsia="黑体"/>
          <w:szCs w:val="21"/>
        </w:rPr>
      </w:pPr>
      <w:r>
        <w:rPr>
          <w:rFonts w:ascii="Times New Roman" w:hAnsi="Times New Roman" w:eastAsia="黑体"/>
          <w:szCs w:val="21"/>
        </w:rPr>
        <w:t>摆动量校准结果</w:t>
      </w:r>
    </w:p>
    <w:tbl>
      <w:tblPr>
        <w:tblStyle w:val="22"/>
        <w:tblW w:w="5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1417"/>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jc w:val="center"/>
              <w:rPr>
                <w:szCs w:val="21"/>
              </w:rPr>
            </w:pPr>
            <w:r>
              <w:rPr>
                <w:szCs w:val="21"/>
              </w:rPr>
              <w:t>校准项目</w:t>
            </w:r>
          </w:p>
        </w:tc>
        <w:tc>
          <w:tcPr>
            <w:tcW w:w="1417" w:type="dxa"/>
          </w:tcPr>
          <w:p>
            <w:pPr>
              <w:jc w:val="center"/>
              <w:rPr>
                <w:szCs w:val="21"/>
              </w:rPr>
            </w:pPr>
            <w:r>
              <w:rPr>
                <w:szCs w:val="21"/>
              </w:rPr>
              <w:t>方向</w:t>
            </w:r>
          </w:p>
        </w:tc>
        <w:tc>
          <w:tcPr>
            <w:tcW w:w="1814" w:type="dxa"/>
          </w:tcPr>
          <w:p>
            <w:pPr>
              <w:jc w:val="center"/>
              <w:rPr>
                <w:szCs w:val="21"/>
              </w:rPr>
            </w:pPr>
            <w:r>
              <w:rPr>
                <w:szCs w:val="21"/>
              </w:rPr>
              <w:t>校准结果（mm）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2689" w:type="dxa"/>
            <w:vMerge w:val="restart"/>
            <w:vAlign w:val="center"/>
          </w:tcPr>
          <w:p>
            <w:pPr>
              <w:jc w:val="center"/>
              <w:rPr>
                <w:szCs w:val="21"/>
              </w:rPr>
            </w:pPr>
            <w:r>
              <w:rPr>
                <w:kern w:val="21"/>
                <w:szCs w:val="21"/>
              </w:rPr>
              <w:t>摆动量（50mm/min时）</w:t>
            </w:r>
          </w:p>
        </w:tc>
        <w:tc>
          <w:tcPr>
            <w:tcW w:w="1417" w:type="dxa"/>
          </w:tcPr>
          <w:p>
            <w:pPr>
              <w:jc w:val="center"/>
              <w:rPr>
                <w:szCs w:val="21"/>
              </w:rPr>
            </w:pPr>
            <w:r>
              <w:rPr>
                <w:szCs w:val="21"/>
              </w:rPr>
              <w:t>横向</w:t>
            </w:r>
          </w:p>
        </w:tc>
        <w:tc>
          <w:tcPr>
            <w:tcW w:w="181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Merge w:val="continue"/>
          </w:tcPr>
          <w:p>
            <w:pPr>
              <w:jc w:val="center"/>
              <w:rPr>
                <w:szCs w:val="21"/>
              </w:rPr>
            </w:pPr>
          </w:p>
        </w:tc>
        <w:tc>
          <w:tcPr>
            <w:tcW w:w="1417" w:type="dxa"/>
            <w:vAlign w:val="center"/>
          </w:tcPr>
          <w:p>
            <w:pPr>
              <w:jc w:val="center"/>
              <w:rPr>
                <w:szCs w:val="21"/>
              </w:rPr>
            </w:pPr>
            <w:r>
              <w:rPr>
                <w:szCs w:val="21"/>
              </w:rPr>
              <w:t>横向</w:t>
            </w:r>
          </w:p>
        </w:tc>
        <w:tc>
          <w:tcPr>
            <w:tcW w:w="1814" w:type="dxa"/>
          </w:tcPr>
          <w:p>
            <w:pPr>
              <w:jc w:val="center"/>
              <w:rPr>
                <w:szCs w:val="21"/>
              </w:rPr>
            </w:pPr>
          </w:p>
        </w:tc>
      </w:tr>
    </w:tbl>
    <w:p>
      <w:pPr>
        <w:pStyle w:val="49"/>
        <w:numPr>
          <w:ilvl w:val="0"/>
          <w:numId w:val="6"/>
        </w:numPr>
        <w:tabs>
          <w:tab w:val="right" w:pos="9360"/>
          <w:tab w:val="right" w:pos="9450"/>
          <w:tab w:val="right" w:leader="dot" w:pos="11340"/>
          <w:tab w:val="right" w:pos="14742"/>
        </w:tabs>
        <w:autoSpaceDE w:val="0"/>
        <w:autoSpaceDN w:val="0"/>
        <w:adjustRightInd w:val="0"/>
        <w:spacing w:before="120" w:beforeLines="50" w:line="360" w:lineRule="auto"/>
        <w:ind w:left="1139" w:hanging="357" w:firstLineChars="0"/>
        <w:jc w:val="left"/>
        <w:rPr>
          <w:rFonts w:ascii="Times New Roman" w:hAnsi="Times New Roman" w:eastAsia="黑体"/>
          <w:szCs w:val="21"/>
        </w:rPr>
      </w:pPr>
      <w:r>
        <w:rPr>
          <w:rFonts w:ascii="Times New Roman" w:hAnsi="Times New Roman" w:eastAsia="黑体"/>
          <w:szCs w:val="21"/>
        </w:rPr>
        <w:t>拉伸力校准结果</w:t>
      </w:r>
    </w:p>
    <w:tbl>
      <w:tblPr>
        <w:tblStyle w:val="22"/>
        <w:tblW w:w="73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4"/>
        <w:gridCol w:w="1684"/>
        <w:gridCol w:w="3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884" w:type="dxa"/>
            <w:vAlign w:val="center"/>
          </w:tcPr>
          <w:p>
            <w:pPr>
              <w:jc w:val="center"/>
              <w:rPr>
                <w:szCs w:val="21"/>
              </w:rPr>
            </w:pPr>
            <w:r>
              <w:rPr>
                <w:szCs w:val="21"/>
              </w:rPr>
              <w:t>校准点（N）</w:t>
            </w:r>
          </w:p>
        </w:tc>
        <w:tc>
          <w:tcPr>
            <w:tcW w:w="1684" w:type="dxa"/>
            <w:vAlign w:val="center"/>
          </w:tcPr>
          <w:p>
            <w:pPr>
              <w:jc w:val="center"/>
              <w:rPr>
                <w:szCs w:val="21"/>
              </w:rPr>
            </w:pPr>
            <w:r>
              <w:rPr>
                <w:kern w:val="0"/>
                <w:szCs w:val="21"/>
              </w:rPr>
              <w:t>示值误差（%）</w:t>
            </w:r>
          </w:p>
        </w:tc>
        <w:tc>
          <w:tcPr>
            <w:tcW w:w="3794" w:type="dxa"/>
            <w:vAlign w:val="center"/>
          </w:tcPr>
          <w:p>
            <w:pPr>
              <w:jc w:val="center"/>
              <w:rPr>
                <w:szCs w:val="21"/>
              </w:rPr>
            </w:pPr>
            <w:r>
              <w:rPr>
                <w:kern w:val="0"/>
                <w:szCs w:val="21"/>
              </w:rPr>
              <w:t>相对</w:t>
            </w:r>
            <w:r>
              <w:rPr>
                <w:szCs w:val="21"/>
              </w:rPr>
              <w:t>扩展不确定度</w:t>
            </w:r>
            <w:r>
              <w:rPr>
                <w:kern w:val="0"/>
                <w:szCs w:val="21"/>
              </w:rPr>
              <w:t>（%，</w:t>
            </w:r>
            <w:r>
              <w:rPr>
                <w:i/>
                <w:szCs w:val="21"/>
              </w:rPr>
              <w:t>k</w:t>
            </w:r>
            <w:r>
              <w:rPr>
                <w:szCs w:val="21"/>
              </w:rPr>
              <w:t>=2</w:t>
            </w:r>
            <w:r>
              <w:rP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884" w:type="dxa"/>
            <w:vAlign w:val="center"/>
          </w:tcPr>
          <w:p>
            <w:pPr>
              <w:jc w:val="center"/>
              <w:rPr>
                <w:szCs w:val="21"/>
              </w:rPr>
            </w:pPr>
          </w:p>
        </w:tc>
        <w:tc>
          <w:tcPr>
            <w:tcW w:w="1684" w:type="dxa"/>
            <w:vAlign w:val="center"/>
          </w:tcPr>
          <w:p>
            <w:pPr>
              <w:jc w:val="center"/>
              <w:rPr>
                <w:szCs w:val="21"/>
              </w:rPr>
            </w:pPr>
          </w:p>
        </w:tc>
        <w:tc>
          <w:tcPr>
            <w:tcW w:w="3794"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trPr>
        <w:tc>
          <w:tcPr>
            <w:tcW w:w="1884" w:type="dxa"/>
            <w:vAlign w:val="center"/>
          </w:tcPr>
          <w:p>
            <w:pPr>
              <w:jc w:val="center"/>
              <w:rPr>
                <w:szCs w:val="21"/>
              </w:rPr>
            </w:pPr>
          </w:p>
        </w:tc>
        <w:tc>
          <w:tcPr>
            <w:tcW w:w="1684" w:type="dxa"/>
            <w:vAlign w:val="center"/>
          </w:tcPr>
          <w:p>
            <w:pPr>
              <w:jc w:val="center"/>
              <w:rPr>
                <w:szCs w:val="21"/>
              </w:rPr>
            </w:pPr>
          </w:p>
        </w:tc>
        <w:tc>
          <w:tcPr>
            <w:tcW w:w="3794"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1884" w:type="dxa"/>
            <w:vAlign w:val="center"/>
          </w:tcPr>
          <w:p>
            <w:pPr>
              <w:jc w:val="center"/>
              <w:rPr>
                <w:szCs w:val="21"/>
              </w:rPr>
            </w:pPr>
          </w:p>
        </w:tc>
        <w:tc>
          <w:tcPr>
            <w:tcW w:w="1684" w:type="dxa"/>
            <w:vAlign w:val="center"/>
          </w:tcPr>
          <w:p>
            <w:pPr>
              <w:jc w:val="center"/>
              <w:rPr>
                <w:szCs w:val="21"/>
              </w:rPr>
            </w:pPr>
          </w:p>
        </w:tc>
        <w:tc>
          <w:tcPr>
            <w:tcW w:w="3794"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1884" w:type="dxa"/>
            <w:tcBorders>
              <w:bottom w:val="single" w:color="auto" w:sz="4" w:space="0"/>
            </w:tcBorders>
            <w:vAlign w:val="center"/>
          </w:tcPr>
          <w:p>
            <w:pPr>
              <w:jc w:val="center"/>
              <w:rPr>
                <w:szCs w:val="21"/>
              </w:rPr>
            </w:pPr>
          </w:p>
        </w:tc>
        <w:tc>
          <w:tcPr>
            <w:tcW w:w="1684" w:type="dxa"/>
            <w:tcBorders>
              <w:bottom w:val="single" w:color="auto" w:sz="4" w:space="0"/>
            </w:tcBorders>
            <w:vAlign w:val="center"/>
          </w:tcPr>
          <w:p>
            <w:pPr>
              <w:jc w:val="center"/>
              <w:rPr>
                <w:szCs w:val="21"/>
              </w:rPr>
            </w:pPr>
          </w:p>
        </w:tc>
        <w:tc>
          <w:tcPr>
            <w:tcW w:w="3794" w:type="dxa"/>
            <w:tcBorders>
              <w:bottom w:val="single" w:color="auto" w:sz="4" w:space="0"/>
            </w:tcBorders>
            <w:vAlign w:val="center"/>
          </w:tcPr>
          <w:p>
            <w:pPr>
              <w:jc w:val="center"/>
              <w:rPr>
                <w:szCs w:val="21"/>
              </w:rPr>
            </w:pPr>
          </w:p>
        </w:tc>
      </w:tr>
    </w:tbl>
    <w:p>
      <w:pPr>
        <w:pStyle w:val="49"/>
        <w:numPr>
          <w:ilvl w:val="0"/>
          <w:numId w:val="6"/>
        </w:numPr>
        <w:tabs>
          <w:tab w:val="right" w:pos="9360"/>
          <w:tab w:val="right" w:pos="9450"/>
          <w:tab w:val="right" w:leader="dot" w:pos="11340"/>
          <w:tab w:val="right" w:pos="14742"/>
        </w:tabs>
        <w:autoSpaceDE w:val="0"/>
        <w:autoSpaceDN w:val="0"/>
        <w:adjustRightInd w:val="0"/>
        <w:spacing w:before="120" w:beforeLines="50" w:line="360" w:lineRule="auto"/>
        <w:ind w:right="1260" w:firstLineChars="0"/>
        <w:rPr>
          <w:rFonts w:ascii="Times New Roman" w:hAnsi="Times New Roman" w:eastAsia="黑体"/>
          <w:szCs w:val="21"/>
        </w:rPr>
      </w:pPr>
      <w:r>
        <w:rPr>
          <w:rFonts w:ascii="Times New Roman" w:hAnsi="Times New Roman" w:eastAsia="黑体"/>
          <w:szCs w:val="21"/>
        </w:rPr>
        <w:t>试模几何尺寸及粗糙度</w:t>
      </w:r>
    </w:p>
    <w:p>
      <w:pPr>
        <w:tabs>
          <w:tab w:val="right" w:pos="9360"/>
          <w:tab w:val="right" w:pos="9450"/>
          <w:tab w:val="right" w:leader="dot" w:pos="11340"/>
          <w:tab w:val="right" w:pos="14742"/>
        </w:tabs>
        <w:autoSpaceDE w:val="0"/>
        <w:autoSpaceDN w:val="0"/>
        <w:adjustRightInd w:val="0"/>
        <w:spacing w:before="120" w:beforeLines="50" w:line="360" w:lineRule="auto"/>
        <w:ind w:right="420"/>
        <w:jc w:val="right"/>
        <w:rPr>
          <w:rFonts w:eastAsia="黑体"/>
          <w:szCs w:val="21"/>
        </w:rPr>
      </w:pPr>
      <w:r>
        <w:rPr>
          <w:szCs w:val="21"/>
        </w:rPr>
        <w:t>单位：mm</w:t>
      </w:r>
    </w:p>
    <w:tbl>
      <w:tblPr>
        <w:tblStyle w:val="22"/>
        <w:tblW w:w="50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85"/>
        <w:gridCol w:w="1285"/>
        <w:gridCol w:w="1285"/>
        <w:gridCol w:w="1285"/>
        <w:gridCol w:w="1285"/>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440" w:type="dxa"/>
            <w:vMerge w:val="restart"/>
            <w:vAlign w:val="center"/>
          </w:tcPr>
          <w:p>
            <w:pPr>
              <w:jc w:val="center"/>
              <w:rPr>
                <w:szCs w:val="21"/>
              </w:rPr>
            </w:pPr>
            <w:r>
              <w:rPr>
                <w:kern w:val="0"/>
                <w:szCs w:val="21"/>
              </w:rPr>
              <w:t>项目</w:t>
            </w:r>
          </w:p>
        </w:tc>
        <w:tc>
          <w:tcPr>
            <w:tcW w:w="7711" w:type="dxa"/>
            <w:gridSpan w:val="6"/>
            <w:vAlign w:val="center"/>
          </w:tcPr>
          <w:p>
            <w:pPr>
              <w:jc w:val="center"/>
              <w:rPr>
                <w:kern w:val="0"/>
                <w:szCs w:val="21"/>
              </w:rPr>
            </w:pPr>
            <w:r>
              <w:rPr>
                <w:kern w:val="0"/>
                <w:szCs w:val="21"/>
              </w:rPr>
              <w:t>试模类型、编号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440" w:type="dxa"/>
            <w:vMerge w:val="continue"/>
            <w:vAlign w:val="center"/>
          </w:tcPr>
          <w:p>
            <w:pPr>
              <w:jc w:val="center"/>
              <w:rPr>
                <w:kern w:val="0"/>
                <w:szCs w:val="21"/>
              </w:rPr>
            </w:pPr>
          </w:p>
        </w:tc>
        <w:tc>
          <w:tcPr>
            <w:tcW w:w="1285" w:type="dxa"/>
            <w:vAlign w:val="center"/>
          </w:tcPr>
          <w:p>
            <w:pPr>
              <w:jc w:val="center"/>
              <w:rPr>
                <w:kern w:val="0"/>
                <w:szCs w:val="21"/>
              </w:rPr>
            </w:pPr>
          </w:p>
        </w:tc>
        <w:tc>
          <w:tcPr>
            <w:tcW w:w="1285" w:type="dxa"/>
            <w:vAlign w:val="center"/>
          </w:tcPr>
          <w:p>
            <w:pPr>
              <w:jc w:val="center"/>
              <w:rPr>
                <w:kern w:val="0"/>
                <w:szCs w:val="21"/>
              </w:rPr>
            </w:pPr>
          </w:p>
        </w:tc>
        <w:tc>
          <w:tcPr>
            <w:tcW w:w="1285" w:type="dxa"/>
            <w:vAlign w:val="center"/>
          </w:tcPr>
          <w:p>
            <w:pPr>
              <w:jc w:val="center"/>
              <w:rPr>
                <w:kern w:val="0"/>
                <w:szCs w:val="21"/>
              </w:rPr>
            </w:pPr>
          </w:p>
        </w:tc>
        <w:tc>
          <w:tcPr>
            <w:tcW w:w="1285" w:type="dxa"/>
            <w:vAlign w:val="center"/>
          </w:tcPr>
          <w:p>
            <w:pPr>
              <w:jc w:val="center"/>
              <w:rPr>
                <w:kern w:val="0"/>
                <w:szCs w:val="21"/>
              </w:rPr>
            </w:pPr>
          </w:p>
        </w:tc>
        <w:tc>
          <w:tcPr>
            <w:tcW w:w="1285" w:type="dxa"/>
            <w:vAlign w:val="center"/>
          </w:tcPr>
          <w:p>
            <w:pPr>
              <w:jc w:val="center"/>
              <w:rPr>
                <w:kern w:val="0"/>
                <w:szCs w:val="21"/>
              </w:rPr>
            </w:pPr>
          </w:p>
        </w:tc>
        <w:tc>
          <w:tcPr>
            <w:tcW w:w="1286" w:type="dxa"/>
            <w:vAlign w:val="center"/>
          </w:tcPr>
          <w:p>
            <w:pPr>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1440" w:type="dxa"/>
            <w:vAlign w:val="center"/>
          </w:tcPr>
          <w:p>
            <w:pPr>
              <w:jc w:val="center"/>
              <w:rPr>
                <w:szCs w:val="21"/>
              </w:rPr>
            </w:pPr>
            <w:r>
              <w:rPr>
                <w:szCs w:val="21"/>
              </w:rPr>
              <w:t>试件总长</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6"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440" w:type="dxa"/>
            <w:vAlign w:val="center"/>
          </w:tcPr>
          <w:p>
            <w:pPr>
              <w:jc w:val="center"/>
              <w:rPr>
                <w:szCs w:val="21"/>
              </w:rPr>
            </w:pPr>
            <w:r>
              <w:rPr>
                <w:szCs w:val="21"/>
              </w:rPr>
              <w:t>端模长度</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6"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0" w:type="dxa"/>
            <w:vAlign w:val="center"/>
          </w:tcPr>
          <w:p>
            <w:pPr>
              <w:jc w:val="center"/>
              <w:rPr>
                <w:szCs w:val="21"/>
              </w:rPr>
            </w:pPr>
            <w:r>
              <w:rPr>
                <w:szCs w:val="21"/>
              </w:rPr>
              <w:t>端模间距</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6"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440" w:type="dxa"/>
            <w:vAlign w:val="center"/>
          </w:tcPr>
          <w:p>
            <w:pPr>
              <w:jc w:val="center"/>
              <w:rPr>
                <w:szCs w:val="21"/>
              </w:rPr>
            </w:pPr>
            <w:r>
              <w:rPr>
                <w:szCs w:val="21"/>
              </w:rPr>
              <w:t>肩长</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6"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440" w:type="dxa"/>
            <w:vAlign w:val="center"/>
          </w:tcPr>
          <w:p>
            <w:pPr>
              <w:jc w:val="center"/>
              <w:rPr>
                <w:szCs w:val="21"/>
              </w:rPr>
            </w:pPr>
            <w:r>
              <w:rPr>
                <w:szCs w:val="21"/>
              </w:rPr>
              <w:t>最小横断  面宽</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6"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440" w:type="dxa"/>
            <w:vAlign w:val="center"/>
          </w:tcPr>
          <w:p>
            <w:pPr>
              <w:jc w:val="center"/>
              <w:rPr>
                <w:szCs w:val="21"/>
              </w:rPr>
            </w:pPr>
            <w:r>
              <w:rPr>
                <w:szCs w:val="21"/>
              </w:rPr>
              <w:t>端模口宽</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6"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440" w:type="dxa"/>
            <w:vAlign w:val="center"/>
          </w:tcPr>
          <w:p>
            <w:pPr>
              <w:jc w:val="center"/>
              <w:rPr>
                <w:szCs w:val="21"/>
              </w:rPr>
            </w:pPr>
            <w:r>
              <w:rPr>
                <w:szCs w:val="21"/>
              </w:rPr>
              <w:t>厚度</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6"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440" w:type="dxa"/>
            <w:vAlign w:val="center"/>
          </w:tcPr>
          <w:p>
            <w:pPr>
              <w:jc w:val="center"/>
              <w:rPr>
                <w:szCs w:val="21"/>
              </w:rPr>
            </w:pPr>
            <w:r>
              <w:rPr>
                <w:szCs w:val="21"/>
              </w:rPr>
              <w:t>试模内侧粗糙度/μm</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6"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440" w:type="dxa"/>
            <w:vAlign w:val="center"/>
          </w:tcPr>
          <w:p>
            <w:pPr>
              <w:jc w:val="center"/>
              <w:rPr>
                <w:szCs w:val="21"/>
              </w:rPr>
            </w:pPr>
            <w:r>
              <w:rPr>
                <w:szCs w:val="21"/>
              </w:rPr>
              <w:t>底板上表面粗糙度/μm</w:t>
            </w: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5" w:type="dxa"/>
            <w:vAlign w:val="center"/>
          </w:tcPr>
          <w:p>
            <w:pPr>
              <w:jc w:val="center"/>
              <w:rPr>
                <w:szCs w:val="21"/>
              </w:rPr>
            </w:pPr>
          </w:p>
        </w:tc>
        <w:tc>
          <w:tcPr>
            <w:tcW w:w="1286" w:type="dxa"/>
            <w:vAlign w:val="center"/>
          </w:tcPr>
          <w:p>
            <w:pPr>
              <w:jc w:val="center"/>
              <w:rPr>
                <w:szCs w:val="21"/>
              </w:rPr>
            </w:pPr>
          </w:p>
        </w:tc>
      </w:tr>
    </w:tbl>
    <w:p>
      <w:pPr>
        <w:tabs>
          <w:tab w:val="right" w:pos="9360"/>
          <w:tab w:val="right" w:pos="9450"/>
          <w:tab w:val="right" w:leader="dot" w:pos="11340"/>
          <w:tab w:val="right" w:pos="14742"/>
        </w:tabs>
        <w:autoSpaceDE w:val="0"/>
        <w:autoSpaceDN w:val="0"/>
        <w:adjustRightInd w:val="0"/>
        <w:spacing w:line="360" w:lineRule="auto"/>
        <w:ind w:firstLine="3840" w:firstLineChars="1600"/>
        <w:rPr>
          <w:kern w:val="21"/>
          <w:sz w:val="24"/>
        </w:rPr>
      </w:pPr>
      <w:r>
        <w:rPr>
          <w:kern w:val="21"/>
          <w:sz w:val="24"/>
        </w:rPr>
        <w:t>（以下空白）</w:t>
      </w:r>
    </w:p>
    <w:p>
      <w:pPr>
        <w:widowControl/>
        <w:jc w:val="left"/>
        <w:rPr>
          <w:rFonts w:eastAsia="黑体"/>
          <w:szCs w:val="21"/>
        </w:rPr>
      </w:pPr>
    </w:p>
    <w:p>
      <w:pPr>
        <w:pStyle w:val="3"/>
        <w:pageBreakBefore/>
        <w:spacing w:line="360" w:lineRule="auto"/>
        <w:rPr>
          <w:rFonts w:ascii="Times New Roman" w:hAnsi="Times New Roman"/>
          <w:b w:val="0"/>
          <w:sz w:val="28"/>
          <w:szCs w:val="28"/>
        </w:rPr>
      </w:pPr>
      <w:bookmarkStart w:id="31" w:name="_Toc180395277"/>
      <w:r>
        <w:rPr>
          <w:rFonts w:ascii="Times New Roman" w:hAnsi="Times New Roman"/>
          <w:b w:val="0"/>
          <w:sz w:val="28"/>
          <w:szCs w:val="28"/>
        </w:rPr>
        <w:t>附录 C</w:t>
      </w:r>
      <w:bookmarkEnd w:id="31"/>
    </w:p>
    <w:p>
      <w:pPr>
        <w:spacing w:line="360" w:lineRule="auto"/>
        <w:jc w:val="center"/>
        <w:rPr>
          <w:rFonts w:eastAsia="黑体"/>
          <w:sz w:val="28"/>
          <w:szCs w:val="28"/>
        </w:rPr>
      </w:pPr>
      <w:r>
        <w:rPr>
          <w:rFonts w:eastAsia="黑体"/>
          <w:sz w:val="28"/>
          <w:szCs w:val="28"/>
        </w:rPr>
        <w:t>沥青延度试验仪温度偏差测量结果不确定度评定示例</w:t>
      </w:r>
    </w:p>
    <w:p>
      <w:pPr>
        <w:widowControl/>
        <w:spacing w:line="360" w:lineRule="auto"/>
        <w:textAlignment w:val="baseline"/>
        <w:rPr>
          <w:sz w:val="24"/>
        </w:rPr>
      </w:pPr>
      <w:r>
        <w:rPr>
          <w:sz w:val="24"/>
        </w:rPr>
        <w:t>C.1 被测对象</w:t>
      </w:r>
    </w:p>
    <w:p>
      <w:pPr>
        <w:widowControl/>
        <w:spacing w:line="360" w:lineRule="auto"/>
        <w:ind w:firstLine="480" w:firstLineChars="200"/>
        <w:textAlignment w:val="baseline"/>
        <w:rPr>
          <w:sz w:val="24"/>
        </w:rPr>
      </w:pPr>
      <w:bookmarkStart w:id="32" w:name="_Hlk172107733"/>
      <w:r>
        <w:rPr>
          <w:sz w:val="24"/>
        </w:rPr>
        <w:t>选一台常见的沥青延度试验仪做为被测对象，由于上偏差与下偏差不确定度来源和数值相同，以25 ℃的上偏差为例进行不确定度评定。</w:t>
      </w:r>
    </w:p>
    <w:bookmarkEnd w:id="32"/>
    <w:p>
      <w:pPr>
        <w:widowControl/>
        <w:spacing w:line="360" w:lineRule="auto"/>
        <w:textAlignment w:val="baseline"/>
        <w:rPr>
          <w:rFonts w:eastAsia="黑体"/>
          <w:sz w:val="24"/>
        </w:rPr>
      </w:pPr>
      <w:r>
        <w:rPr>
          <w:sz w:val="24"/>
        </w:rPr>
        <w:t>C.2 测量标准</w:t>
      </w:r>
    </w:p>
    <w:p>
      <w:pPr>
        <w:spacing w:line="360" w:lineRule="auto"/>
        <w:ind w:firstLine="480"/>
        <w:rPr>
          <w:sz w:val="24"/>
        </w:rPr>
      </w:pPr>
      <w:r>
        <w:rPr>
          <w:sz w:val="24"/>
        </w:rPr>
        <w:t>温度测量标准：</w:t>
      </w:r>
    </w:p>
    <w:p>
      <w:pPr>
        <w:spacing w:line="360" w:lineRule="auto"/>
        <w:ind w:firstLine="480"/>
        <w:rPr>
          <w:sz w:val="24"/>
        </w:rPr>
      </w:pPr>
      <w:r>
        <w:rPr>
          <w:sz w:val="24"/>
        </w:rPr>
        <w:t>温度显示分辨力：0.01 ℃，最大允许误差：±0.10 ℃。</w:t>
      </w:r>
    </w:p>
    <w:p>
      <w:pPr>
        <w:spacing w:line="360" w:lineRule="auto"/>
        <w:ind w:firstLine="480"/>
        <w:rPr>
          <w:sz w:val="24"/>
        </w:rPr>
      </w:pPr>
      <w:r>
        <w:rPr>
          <w:sz w:val="24"/>
        </w:rPr>
        <w:t>环境条件：</w:t>
      </w:r>
    </w:p>
    <w:p>
      <w:pPr>
        <w:spacing w:line="360" w:lineRule="auto"/>
        <w:ind w:firstLine="480"/>
        <w:rPr>
          <w:sz w:val="24"/>
        </w:rPr>
      </w:pPr>
      <w:r>
        <w:rPr>
          <w:sz w:val="24"/>
        </w:rPr>
        <w:t>温度：（23～24） ℃，相对湿度：65%RH。</w:t>
      </w:r>
    </w:p>
    <w:p>
      <w:pPr>
        <w:spacing w:line="360" w:lineRule="auto"/>
        <w:rPr>
          <w:rFonts w:eastAsia="黑体"/>
          <w:sz w:val="24"/>
        </w:rPr>
      </w:pPr>
      <w:r>
        <w:rPr>
          <w:sz w:val="24"/>
        </w:rPr>
        <w:t>C.3 校准方法</w:t>
      </w:r>
    </w:p>
    <w:p>
      <w:pPr>
        <w:widowControl/>
        <w:spacing w:line="360" w:lineRule="auto"/>
        <w:ind w:firstLine="480" w:firstLineChars="200"/>
        <w:textAlignment w:val="baseline"/>
        <w:rPr>
          <w:sz w:val="24"/>
        </w:rPr>
      </w:pPr>
      <w:r>
        <w:rPr>
          <w:sz w:val="24"/>
        </w:rPr>
        <w:t>按照本规范对温度偏差的校准要求，将温度标准器按规范图1测试点要求布置。将沥青延度试验仪温度设定为25 ℃并开启运行。当沥青延度试验仪温度达到设定值并稳定后，每隔2 min记录一次温度测量标准的示值，共记录11次。</w:t>
      </w:r>
    </w:p>
    <w:p>
      <w:pPr>
        <w:widowControl/>
        <w:spacing w:line="360" w:lineRule="auto"/>
        <w:textAlignment w:val="baseline"/>
        <w:rPr>
          <w:rFonts w:eastAsia="黑体"/>
          <w:sz w:val="24"/>
        </w:rPr>
      </w:pPr>
      <w:r>
        <w:rPr>
          <w:sz w:val="24"/>
        </w:rPr>
        <w:t xml:space="preserve">C.4 数学模型 </w:t>
      </w:r>
    </w:p>
    <w:p>
      <w:pPr>
        <w:widowControl/>
        <w:spacing w:line="360" w:lineRule="auto"/>
        <w:textAlignment w:val="baseline"/>
        <w:rPr>
          <w:sz w:val="24"/>
        </w:rPr>
      </w:pPr>
      <w:r>
        <w:rPr>
          <w:sz w:val="24"/>
        </w:rPr>
        <w:t xml:space="preserve">C.4.1 温度偏差公式 </w:t>
      </w:r>
    </w:p>
    <w:p>
      <w:pPr>
        <w:widowControl/>
        <w:spacing w:line="360" w:lineRule="auto"/>
        <w:ind w:firstLine="240" w:firstLineChars="100"/>
        <w:jc w:val="right"/>
        <w:textAlignment w:val="baseline"/>
        <w:rPr>
          <w:sz w:val="24"/>
        </w:rPr>
      </w:pPr>
      <m:oMath>
        <m:r>
          <m:rPr/>
          <w:rPr>
            <w:rFonts w:ascii="Cambria Math" w:hAnsi="Cambria Math"/>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r>
          <m:rPr/>
          <w:rPr>
            <w:rFonts w:ascii="Cambria Math" w:hAnsi="Cambria Math" w:eastAsia="微软雅黑"/>
            <w:sz w:val="24"/>
          </w:rPr>
          <m:t>=</m:t>
        </m:r>
        <m:sSub>
          <m:sSubPr>
            <m:ctrlPr>
              <w:rPr>
                <w:rFonts w:ascii="Cambria Math" w:hAnsi="Cambria Math" w:eastAsia="微软雅黑"/>
                <w:i/>
                <w:sz w:val="24"/>
              </w:rPr>
            </m:ctrlPr>
          </m:sSubPr>
          <m:e>
            <m:r>
              <m:rPr/>
              <w:rPr>
                <w:rFonts w:ascii="Cambria Math" w:hAnsi="Cambria Math" w:eastAsia="微软雅黑"/>
                <w:sz w:val="24"/>
              </w:rPr>
              <m:t>t</m:t>
            </m:r>
            <m:ctrlPr>
              <w:rPr>
                <w:rFonts w:ascii="Cambria Math" w:hAnsi="Cambria Math" w:eastAsia="微软雅黑"/>
                <w:i/>
                <w:sz w:val="24"/>
              </w:rPr>
            </m:ctrlPr>
          </m:e>
          <m:sub>
            <m:r>
              <m:rPr>
                <m:sty m:val="p"/>
              </m:rPr>
              <w:rPr>
                <w:rFonts w:ascii="Cambria Math" w:hAnsi="Cambria Math" w:eastAsia="微软雅黑"/>
                <w:sz w:val="24"/>
              </w:rPr>
              <m:t>max</m:t>
            </m:r>
            <m:ctrlPr>
              <w:rPr>
                <w:rFonts w:ascii="Cambria Math" w:hAnsi="Cambria Math" w:eastAsia="微软雅黑"/>
                <w:i/>
                <w:sz w:val="24"/>
              </w:rPr>
            </m:ctrlPr>
          </m:sub>
        </m:sSub>
        <m:r>
          <m:rPr/>
          <w:rPr>
            <w:rFonts w:ascii="Cambria Math" w:hAnsi="Cambria Math" w:eastAsia="微软雅黑"/>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s</m:t>
            </m:r>
            <m:ctrlPr>
              <w:rPr>
                <w:rFonts w:ascii="Cambria Math" w:hAnsi="Cambria Math"/>
                <w:i/>
                <w:sz w:val="24"/>
              </w:rPr>
            </m:ctrlPr>
          </m:sub>
        </m:sSub>
      </m:oMath>
      <w:r>
        <w:rPr>
          <w:sz w:val="24"/>
        </w:rPr>
        <w:t xml:space="preserve">                          （C.1）</w:t>
      </w:r>
    </w:p>
    <w:p>
      <w:pPr>
        <w:widowControl/>
        <w:spacing w:line="360" w:lineRule="auto"/>
        <w:ind w:firstLine="480" w:firstLineChars="200"/>
        <w:textAlignment w:val="baseline"/>
        <w:rPr>
          <w:sz w:val="24"/>
        </w:rPr>
      </w:pPr>
      <w:r>
        <w:rPr>
          <w:sz w:val="24"/>
        </w:rPr>
        <w:t>式中：</w:t>
      </w:r>
    </w:p>
    <w:p>
      <w:pPr>
        <w:widowControl/>
        <w:spacing w:line="360" w:lineRule="auto"/>
        <w:ind w:firstLine="480" w:firstLineChars="200"/>
        <w:textAlignment w:val="baseline"/>
        <w:rPr>
          <w:sz w:val="24"/>
        </w:rPr>
      </w:pPr>
      <m:oMath>
        <m:r>
          <m:rPr/>
          <w:rPr>
            <w:rFonts w:ascii="Cambria Math" w:hAnsi="Cambria Math"/>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oMath>
      <w:r>
        <w:t>——沥青</w:t>
      </w:r>
      <w:r>
        <w:rPr>
          <w:sz w:val="24"/>
        </w:rPr>
        <w:t>延度试验仪水槽温度上偏差，℃</w:t>
      </w:r>
    </w:p>
    <w:p>
      <w:pPr>
        <w:widowControl/>
        <w:spacing w:line="360" w:lineRule="auto"/>
        <w:jc w:val="left"/>
        <w:textAlignment w:val="baseline"/>
        <w:rPr>
          <w:sz w:val="24"/>
        </w:rPr>
      </w:pPr>
      <w:r>
        <w:rPr>
          <w:sz w:val="24"/>
        </w:rPr>
        <w:t xml:space="preserve">    </w:t>
      </w: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oMath>
      <w:r>
        <w:rPr>
          <w:sz w:val="24"/>
        </w:rPr>
        <w:t>——各测量点</w:t>
      </w:r>
      <w:r>
        <w:rPr>
          <w:i/>
          <w:iCs/>
          <w:sz w:val="24"/>
        </w:rPr>
        <w:t>j</w:t>
      </w:r>
      <w:r>
        <w:rPr>
          <w:sz w:val="24"/>
        </w:rPr>
        <w:t>在规定时间内测得的最高温度，℃</w:t>
      </w:r>
    </w:p>
    <w:p>
      <w:pPr>
        <w:widowControl/>
        <w:spacing w:line="360" w:lineRule="auto"/>
        <w:ind w:firstLine="480" w:firstLineChars="200"/>
        <w:jc w:val="left"/>
        <w:textAlignment w:val="baseline"/>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s</m:t>
            </m:r>
            <m:ctrlPr>
              <w:rPr>
                <w:rFonts w:ascii="Cambria Math" w:hAnsi="Cambria Math"/>
                <w:i/>
                <w:sz w:val="24"/>
              </w:rPr>
            </m:ctrlPr>
          </m:sub>
        </m:sSub>
      </m:oMath>
      <w:r>
        <w:rPr>
          <w:sz w:val="24"/>
        </w:rPr>
        <w:t xml:space="preserve">—— 沥青延度试验仪水槽设定温度，℃。  </w:t>
      </w:r>
    </w:p>
    <w:p>
      <w:pPr>
        <w:spacing w:line="360" w:lineRule="auto"/>
        <w:ind w:firstLine="482"/>
        <w:rPr>
          <w:sz w:val="24"/>
        </w:rPr>
      </w:pPr>
      <w:r>
        <w:rPr>
          <w:sz w:val="24"/>
        </w:rPr>
        <w:t>不确定度来源：被校对象测量重复性引入的标准不确定度，标准器分辨力引入的标准不确定度，标准器最大允许误差引入的标准不确定度，标准器的稳定性引入的标准不确定度。</w:t>
      </w:r>
    </w:p>
    <w:p>
      <w:pPr>
        <w:spacing w:line="360" w:lineRule="auto"/>
        <w:rPr>
          <w:rFonts w:eastAsia="黑体"/>
          <w:sz w:val="24"/>
        </w:rPr>
      </w:pPr>
      <w:r>
        <w:rPr>
          <w:sz w:val="24"/>
        </w:rPr>
        <w:t>C.5 标准不确定度分量</w:t>
      </w:r>
    </w:p>
    <w:p>
      <w:pPr>
        <w:spacing w:line="360" w:lineRule="auto"/>
        <w:rPr>
          <w:i/>
          <w:iCs/>
        </w:rPr>
      </w:pPr>
      <w:r>
        <w:rPr>
          <w:sz w:val="24"/>
        </w:rPr>
        <w:t>C.5.1 温度测量重复性引入的标准不确定度</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ascii="Cambria Math" w:hAnsi="Cambria Math"/>
                <w:sz w:val="24"/>
              </w:rPr>
              <m:t>1</m:t>
            </m:r>
            <m:ctrlPr>
              <w:rPr>
                <w:rFonts w:ascii="Cambria Math" w:hAnsi="Cambria Math"/>
                <w:i/>
                <w:iCs/>
                <w:sz w:val="24"/>
              </w:rPr>
            </m:ctrlPr>
          </m:sub>
        </m:sSub>
      </m:oMath>
    </w:p>
    <w:p>
      <w:pPr>
        <w:spacing w:line="360" w:lineRule="auto"/>
        <w:ind w:firstLine="480"/>
        <w:rPr>
          <w:sz w:val="24"/>
        </w:rPr>
      </w:pPr>
      <w:r>
        <w:rPr>
          <w:sz w:val="24"/>
        </w:rPr>
        <w:t>重复测量10次，得到10组温度上偏差数据：-0.01 ℃、-0.02 ℃、-0.02 ℃、0.02 ℃、0.02 ℃、0.01 ℃、-0.03 ℃、-0.04 ℃、-0.02 ℃、-0.04 ℃，根据贝赛尔公式计算实验标准偏差：</w:t>
      </w:r>
    </w:p>
    <w:p>
      <w:pPr>
        <w:spacing w:line="360" w:lineRule="auto"/>
        <w:jc w:val="right"/>
        <w:rPr>
          <w:sz w:val="24"/>
        </w:rPr>
      </w:pPr>
      <m:oMath>
        <m:r>
          <m:rPr/>
          <w:rPr>
            <w:rFonts w:ascii="Cambria Math" w:hAnsi="Cambria Math"/>
            <w:sz w:val="24"/>
          </w:rPr>
          <m:t>s=</m:t>
        </m:r>
        <m:rad>
          <m:radPr>
            <m:degHide m:val="1"/>
            <m:ctrlPr>
              <w:rPr>
                <w:rFonts w:ascii="Cambria Math" w:hAnsi="Cambria Math"/>
                <w:i/>
                <w:sz w:val="24"/>
              </w:rPr>
            </m:ctrlPr>
          </m:radPr>
          <m:deg>
            <m:ctrlPr>
              <w:rPr>
                <w:rFonts w:ascii="Cambria Math" w:hAnsi="Cambria Math"/>
                <w:i/>
                <w:sz w:val="24"/>
              </w:rPr>
            </m:ctrlPr>
          </m:deg>
          <m:e>
            <m:f>
              <m:fPr>
                <m:ctrlPr>
                  <w:rPr>
                    <w:rFonts w:ascii="Cambria Math" w:hAnsi="Cambria Math"/>
                    <w:i/>
                    <w:sz w:val="24"/>
                  </w:rPr>
                </m:ctrlPr>
              </m:fPr>
              <m:num>
                <m:nary>
                  <m:naryPr>
                    <m:chr m:val="∑"/>
                    <m:limLoc m:val="undOvr"/>
                    <m:ctrlPr>
                      <w:rPr>
                        <w:rFonts w:ascii="Cambria Math" w:hAnsi="Cambria Math"/>
                        <w:i/>
                        <w:sz w:val="24"/>
                      </w:rPr>
                    </m:ctrlPr>
                  </m:naryPr>
                  <m:sub>
                    <m:r>
                      <m:rPr/>
                      <w:rPr>
                        <w:rFonts w:ascii="Cambria Math" w:hAnsi="Cambria Math"/>
                        <w:sz w:val="24"/>
                      </w:rPr>
                      <m:t>i=1</m:t>
                    </m:r>
                    <m:ctrlPr>
                      <w:rPr>
                        <w:rFonts w:ascii="Cambria Math" w:hAnsi="Cambria Math"/>
                        <w:i/>
                        <w:sz w:val="24"/>
                      </w:rPr>
                    </m:ctrlPr>
                  </m:sub>
                  <m:sup>
                    <m:r>
                      <m:rPr/>
                      <w:rPr>
                        <w:rFonts w:ascii="Cambria Math" w:hAnsi="Cambria Math"/>
                        <w:sz w:val="24"/>
                      </w:rPr>
                      <m:t>n</m:t>
                    </m:r>
                    <m:ctrlPr>
                      <w:rPr>
                        <w:rFonts w:ascii="Cambria Math" w:hAnsi="Cambria Math"/>
                        <w:i/>
                        <w:sz w:val="24"/>
                      </w:rPr>
                    </m:ctrlPr>
                  </m:sup>
                  <m:e>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x</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acc>
                          <m:accPr>
                            <m:chr m:val="̅"/>
                            <m:ctrlPr>
                              <w:rPr>
                                <w:rFonts w:ascii="Cambria Math" w:hAnsi="Cambria Math"/>
                                <w:i/>
                                <w:sz w:val="24"/>
                              </w:rPr>
                            </m:ctrlPr>
                          </m:accPr>
                          <m:e>
                            <m:r>
                              <m:rPr/>
                              <w:rPr>
                                <w:rFonts w:ascii="Cambria Math" w:hAnsi="Cambria Math"/>
                                <w:sz w:val="24"/>
                              </w:rPr>
                              <m:t>x</m:t>
                            </m:r>
                            <m:ctrlPr>
                              <w:rPr>
                                <w:rFonts w:ascii="Cambria Math" w:hAnsi="Cambria Math"/>
                                <w:i/>
                                <w:sz w:val="24"/>
                              </w:rPr>
                            </m:ctrlPr>
                          </m:e>
                        </m:acc>
                        <m:ctrlPr>
                          <w:rPr>
                            <w:rFonts w:ascii="Cambria Math" w:hAnsi="Cambria Math"/>
                            <w:i/>
                            <w:sz w:val="24"/>
                          </w:rPr>
                        </m:ctrlPr>
                      </m:e>
                    </m:d>
                    <m:ctrlPr>
                      <w:rPr>
                        <w:rFonts w:ascii="Cambria Math" w:hAnsi="Cambria Math"/>
                        <w:i/>
                        <w:sz w:val="24"/>
                      </w:rPr>
                    </m:ctrlPr>
                  </m:e>
                </m:nary>
                <m:ctrlPr>
                  <w:rPr>
                    <w:rFonts w:ascii="Cambria Math" w:hAnsi="Cambria Math"/>
                    <w:i/>
                    <w:sz w:val="24"/>
                  </w:rPr>
                </m:ctrlPr>
              </m:num>
              <m:den>
                <m:r>
                  <m:rPr/>
                  <w:rPr>
                    <w:rFonts w:ascii="Cambria Math" w:hAnsi="Cambria Math"/>
                    <w:sz w:val="24"/>
                  </w:rPr>
                  <m:t>n−1</m:t>
                </m:r>
                <m:ctrlPr>
                  <w:rPr>
                    <w:rFonts w:ascii="Cambria Math" w:hAnsi="Cambria Math"/>
                    <w:i/>
                    <w:sz w:val="24"/>
                  </w:rPr>
                </m:ctrlPr>
              </m:den>
            </m:f>
            <m:ctrlPr>
              <w:rPr>
                <w:rFonts w:ascii="Cambria Math" w:hAnsi="Cambria Math"/>
                <w:i/>
                <w:sz w:val="24"/>
              </w:rPr>
            </m:ctrlPr>
          </m:e>
        </m:rad>
        <m:r>
          <m:rPr/>
          <w:rPr>
            <w:rFonts w:ascii="Cambria Math" w:hAnsi="Cambria Math"/>
            <w:sz w:val="24"/>
          </w:rPr>
          <m:t>=0.025 ℃</m:t>
        </m:r>
      </m:oMath>
      <w:r>
        <w:rPr>
          <w:sz w:val="24"/>
        </w:rPr>
        <w:t xml:space="preserve">                  （C.2）</w:t>
      </w:r>
    </w:p>
    <w:p>
      <w:pPr>
        <w:spacing w:line="360" w:lineRule="auto"/>
        <w:ind w:firstLine="480" w:firstLineChars="200"/>
        <w:jc w:val="center"/>
        <w:rPr>
          <w:sz w:val="24"/>
        </w:rPr>
      </w:pPr>
      <w:r>
        <w:rPr>
          <w:sz w:val="24"/>
        </w:rPr>
        <w:t>则</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ascii="Cambria Math" w:hAnsi="Cambria Math"/>
                <w:sz w:val="24"/>
              </w:rPr>
              <m:t>1</m:t>
            </m:r>
            <m:ctrlPr>
              <w:rPr>
                <w:rFonts w:ascii="Cambria Math" w:hAnsi="Cambria Math"/>
                <w:i/>
                <w:iCs/>
                <w:sz w:val="24"/>
              </w:rPr>
            </m:ctrlPr>
          </m:sub>
        </m:sSub>
        <m:r>
          <m:rPr/>
          <w:rPr>
            <w:rFonts w:ascii="Cambria Math" w:hAnsi="Cambria Math"/>
            <w:sz w:val="24"/>
          </w:rPr>
          <m:t>=s=0.025 ℃</m:t>
        </m:r>
      </m:oMath>
    </w:p>
    <w:p>
      <w:pPr>
        <w:spacing w:line="312" w:lineRule="auto"/>
        <w:rPr>
          <w:sz w:val="24"/>
        </w:rPr>
      </w:pPr>
      <w:r>
        <w:rPr>
          <w:sz w:val="24"/>
        </w:rPr>
        <w:t>C.5.2 标准器温度分辨力引入的标准不确定度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oMath>
    </w:p>
    <w:p>
      <w:pPr>
        <w:spacing w:line="312" w:lineRule="auto"/>
        <w:ind w:firstLine="480" w:firstLineChars="200"/>
        <w:rPr>
          <w:sz w:val="24"/>
        </w:rPr>
      </w:pPr>
      <w:r>
        <w:rPr>
          <w:sz w:val="24"/>
        </w:rPr>
        <w:t xml:space="preserve"> 标准器温度分辨力为0.01 ℃，不确定度区间半宽0.005 ℃，服从均匀分布，</w:t>
      </w:r>
    </w:p>
    <w:p>
      <w:pPr>
        <w:spacing w:line="360" w:lineRule="auto"/>
        <w:rPr>
          <w:sz w:val="24"/>
        </w:rPr>
      </w:pPr>
      <w:r>
        <w:rPr>
          <w:sz w:val="24"/>
        </w:rPr>
        <w:t>则分辨力引入的标准不确定度：</w:t>
      </w:r>
    </w:p>
    <w:p>
      <w:pPr>
        <w:spacing w:line="360" w:lineRule="auto"/>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a</m:t>
              </m:r>
              <m:ctrlPr>
                <w:rPr>
                  <w:rFonts w:ascii="Cambria Math" w:hAnsi="Cambria Math"/>
                  <w:i/>
                  <w:sz w:val="24"/>
                </w:rPr>
              </m:ctrlPr>
            </m:num>
            <m:den>
              <m:r>
                <m:rPr/>
                <w:rPr>
                  <w:rFonts w:ascii="Cambria Math" w:hAnsi="Cambria Math"/>
                  <w:sz w:val="24"/>
                </w:rPr>
                <m:t>k</m:t>
              </m:r>
              <m:ctrlPr>
                <w:rPr>
                  <w:rFonts w:ascii="Cambria Math" w:hAnsi="Cambria Math"/>
                  <w:i/>
                  <w:sz w:val="24"/>
                </w:rPr>
              </m:ctrlPr>
            </m:den>
          </m:f>
          <m:r>
            <m:rPr/>
            <w:rPr>
              <w:rFonts w:ascii="Cambria Math" w:hAnsi="Cambria Math"/>
              <w:sz w:val="24"/>
            </w:rPr>
            <m:t>=</m:t>
          </m:r>
          <m:f>
            <m:fPr>
              <m:ctrlPr>
                <w:rPr>
                  <w:rFonts w:ascii="Cambria Math" w:hAnsi="Cambria Math"/>
                  <w:i/>
                  <w:sz w:val="24"/>
                </w:rPr>
              </m:ctrlPr>
            </m:fPr>
            <m:num>
              <m:r>
                <m:rPr/>
                <w:rPr>
                  <w:rFonts w:ascii="Cambria Math" w:hAnsi="Cambria Math"/>
                  <w:sz w:val="24"/>
                </w:rPr>
                <m:t>0.005</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=0.0029 ℃</m:t>
          </m:r>
        </m:oMath>
      </m:oMathPara>
    </w:p>
    <w:p>
      <w:pPr>
        <w:spacing w:line="360" w:lineRule="auto"/>
        <w:ind w:firstLine="480" w:firstLineChars="200"/>
        <w:rPr>
          <w:sz w:val="24"/>
        </w:rPr>
      </w:pPr>
      <w:r>
        <w:rPr>
          <w:sz w:val="24"/>
        </w:rPr>
        <w:t>测量重复性引入的标准不确定度大于标准器分辨力引入的标准不确定度，取其中较大者，则不考虑标准器温度分辨力引入的标准不确定度。</w:t>
      </w:r>
    </w:p>
    <w:p>
      <w:pPr>
        <w:spacing w:line="312" w:lineRule="auto"/>
        <w:rPr>
          <w:sz w:val="24"/>
        </w:rPr>
      </w:pPr>
      <w:r>
        <w:rPr>
          <w:sz w:val="24"/>
        </w:rPr>
        <w:t>C.5.3 标准器最大允许误差引入的标准不确定度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3</m:t>
            </m:r>
            <m:ctrlPr>
              <w:rPr>
                <w:rFonts w:ascii="Cambria Math" w:hAnsi="Cambria Math"/>
                <w:i/>
                <w:sz w:val="24"/>
              </w:rPr>
            </m:ctrlPr>
          </m:sub>
        </m:sSub>
      </m:oMath>
    </w:p>
    <w:p>
      <w:pPr>
        <w:spacing w:line="312" w:lineRule="auto"/>
        <w:ind w:firstLine="480" w:firstLineChars="200"/>
        <w:rPr>
          <w:sz w:val="24"/>
        </w:rPr>
      </w:pPr>
      <w:r>
        <w:rPr>
          <w:sz w:val="24"/>
        </w:rPr>
        <w:t>标准器温度最大允许误差：±0.10 ℃，不确定度区间半宽0.10 ℃，按均匀分布考虑，则标准器温度最大允许误差引入的标准不确定度：</w:t>
      </w:r>
    </w:p>
    <w:p>
      <w:pPr>
        <w:spacing w:line="312" w:lineRule="auto"/>
        <w:ind w:firstLine="840" w:firstLineChars="35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3</m:t>
              </m:r>
              <m:ctrlPr>
                <w:rPr>
                  <w:rFonts w:ascii="Cambria Math" w:hAnsi="Cambria Math"/>
                  <w:i/>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a</m:t>
              </m:r>
              <m:ctrlPr>
                <w:rPr>
                  <w:rFonts w:ascii="Cambria Math" w:hAnsi="Cambria Math"/>
                  <w:i/>
                  <w:sz w:val="24"/>
                </w:rPr>
              </m:ctrlPr>
            </m:num>
            <m:den>
              <m:r>
                <m:rPr/>
                <w:rPr>
                  <w:rFonts w:ascii="Cambria Math" w:hAnsi="Cambria Math"/>
                  <w:sz w:val="24"/>
                </w:rPr>
                <m:t>k</m:t>
              </m:r>
              <m:ctrlPr>
                <w:rPr>
                  <w:rFonts w:ascii="Cambria Math" w:hAnsi="Cambria Math"/>
                  <w:i/>
                  <w:sz w:val="24"/>
                </w:rPr>
              </m:ctrlPr>
            </m:den>
          </m:f>
          <m:r>
            <m:rPr/>
            <w:rPr>
              <w:rFonts w:ascii="Cambria Math" w:hAnsi="Cambria Math"/>
              <w:sz w:val="24"/>
            </w:rPr>
            <m:t>=</m:t>
          </m:r>
          <m:f>
            <m:fPr>
              <m:ctrlPr>
                <w:rPr>
                  <w:rFonts w:ascii="Cambria Math" w:hAnsi="Cambria Math"/>
                  <w:i/>
                  <w:sz w:val="24"/>
                </w:rPr>
              </m:ctrlPr>
            </m:fPr>
            <m:num>
              <m:r>
                <m:rPr/>
                <w:rPr>
                  <w:rFonts w:ascii="Cambria Math" w:hAnsi="Cambria Math"/>
                  <w:sz w:val="24"/>
                </w:rPr>
                <m:t>0.10</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=0.058 ℃</m:t>
          </m:r>
        </m:oMath>
      </m:oMathPara>
    </w:p>
    <w:p>
      <w:pPr>
        <w:spacing w:line="312" w:lineRule="auto"/>
        <w:rPr>
          <w:sz w:val="24"/>
        </w:rPr>
      </w:pPr>
      <w:r>
        <w:rPr>
          <w:sz w:val="24"/>
        </w:rPr>
        <w:t>C.5.4 标准器温度稳定性引入的标准不确定度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4</m:t>
            </m:r>
            <m:ctrlPr>
              <w:rPr>
                <w:rFonts w:ascii="Cambria Math" w:hAnsi="Cambria Math"/>
                <w:i/>
                <w:sz w:val="24"/>
              </w:rPr>
            </m:ctrlPr>
          </m:sub>
        </m:sSub>
      </m:oMath>
    </w:p>
    <w:p>
      <w:pPr>
        <w:spacing w:line="312" w:lineRule="auto"/>
        <w:ind w:firstLine="480"/>
        <w:rPr>
          <w:sz w:val="24"/>
        </w:rPr>
      </w:pPr>
      <w:r>
        <w:rPr>
          <w:sz w:val="24"/>
        </w:rPr>
        <w:t>标准器年稳定性为0.10 ℃，按均匀分布，由此引入的标准不确定度:</w:t>
      </w:r>
    </w:p>
    <w:p>
      <w:pPr>
        <w:spacing w:line="312" w:lineRule="auto"/>
        <w:ind w:firstLine="48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4</m:t>
              </m:r>
              <m:ctrlPr>
                <w:rPr>
                  <w:rFonts w:ascii="Cambria Math" w:hAnsi="Cambria Math"/>
                  <w:i/>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0.1</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=0.058 ℃</m:t>
          </m:r>
        </m:oMath>
      </m:oMathPara>
    </w:p>
    <w:p>
      <w:pPr>
        <w:spacing w:line="312" w:lineRule="auto"/>
        <w:jc w:val="left"/>
        <w:rPr>
          <w:sz w:val="24"/>
        </w:rPr>
      </w:pPr>
      <w:r>
        <w:rPr>
          <w:sz w:val="24"/>
        </w:rPr>
        <w:t>C.6</w:t>
      </w:r>
      <w:r>
        <w:rPr>
          <w:rFonts w:eastAsia="黑体"/>
          <w:sz w:val="24"/>
        </w:rPr>
        <w:t xml:space="preserve"> </w:t>
      </w:r>
      <w:r>
        <w:rPr>
          <w:sz w:val="24"/>
        </w:rPr>
        <w:t>标准不确定度分量汇总表见表C.1</w:t>
      </w:r>
    </w:p>
    <w:p>
      <w:pPr>
        <w:spacing w:line="288" w:lineRule="auto"/>
        <w:ind w:firstLine="210" w:firstLineChars="100"/>
        <w:jc w:val="center"/>
        <w:rPr>
          <w:rFonts w:eastAsia="黑体"/>
        </w:rPr>
      </w:pPr>
      <w:r>
        <w:rPr>
          <w:rFonts w:eastAsia="黑体"/>
        </w:rPr>
        <w:t>表</w:t>
      </w:r>
      <w:r>
        <w:rPr>
          <w:rFonts w:eastAsia="黑体"/>
          <w:szCs w:val="21"/>
        </w:rPr>
        <w:t>C.1</w:t>
      </w:r>
      <w:r>
        <w:rPr>
          <w:rFonts w:eastAsia="黑体"/>
        </w:rPr>
        <w:t xml:space="preserve"> 温度上偏差测量标准不确定度分量汇总表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410"/>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980" w:type="dxa"/>
            <w:vAlign w:val="center"/>
          </w:tcPr>
          <w:p>
            <w:pPr>
              <w:spacing w:line="288" w:lineRule="auto"/>
              <w:jc w:val="center"/>
            </w:pPr>
            <w:r>
              <w:t>标准不确定度</w:t>
            </w:r>
          </w:p>
        </w:tc>
        <w:tc>
          <w:tcPr>
            <w:tcW w:w="2410" w:type="dxa"/>
            <w:vAlign w:val="center"/>
          </w:tcPr>
          <w:p>
            <w:pPr>
              <w:spacing w:line="288" w:lineRule="auto"/>
              <w:jc w:val="center"/>
            </w:pPr>
            <w:r>
              <w:t>不确定度来源</w:t>
            </w:r>
          </w:p>
        </w:tc>
        <w:tc>
          <w:tcPr>
            <w:tcW w:w="1854" w:type="dxa"/>
            <w:vAlign w:val="center"/>
          </w:tcPr>
          <w:p>
            <w:pPr>
              <w:spacing w:line="288" w:lineRule="auto"/>
              <w:jc w:val="center"/>
            </w:pPr>
            <w: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80" w:type="dxa"/>
            <w:vAlign w:val="center"/>
          </w:tcPr>
          <w:p>
            <w:pPr>
              <w:spacing w:line="288" w:lineRule="auto"/>
              <w:jc w:val="cente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oMath>
            </m:oMathPara>
          </w:p>
        </w:tc>
        <w:tc>
          <w:tcPr>
            <w:tcW w:w="2410" w:type="dxa"/>
            <w:vAlign w:val="center"/>
          </w:tcPr>
          <w:p>
            <w:pPr>
              <w:spacing w:line="288" w:lineRule="auto"/>
              <w:jc w:val="center"/>
            </w:pPr>
            <w:r>
              <w:t>温度测量重复性</w:t>
            </w:r>
          </w:p>
        </w:tc>
        <w:tc>
          <w:tcPr>
            <w:tcW w:w="1854" w:type="dxa"/>
            <w:vAlign w:val="center"/>
          </w:tcPr>
          <w:p>
            <w:pPr>
              <w:spacing w:line="288" w:lineRule="auto"/>
              <w:jc w:val="center"/>
            </w:pPr>
            <w:r>
              <w:t>0.025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980" w:type="dxa"/>
            <w:vAlign w:val="center"/>
          </w:tcPr>
          <w:p>
            <w:pPr>
              <w:spacing w:line="288" w:lineRule="auto"/>
              <w:jc w:val="center"/>
              <w:rPr>
                <w:i/>
                <w:iCs/>
                <w:position w:val="-12"/>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3</m:t>
                    </m:r>
                    <m:ctrlPr>
                      <w:rPr>
                        <w:rFonts w:ascii="Cambria Math" w:hAnsi="Cambria Math"/>
                        <w:i/>
                        <w:sz w:val="24"/>
                      </w:rPr>
                    </m:ctrlPr>
                  </m:sub>
                </m:sSub>
              </m:oMath>
            </m:oMathPara>
          </w:p>
        </w:tc>
        <w:tc>
          <w:tcPr>
            <w:tcW w:w="2410" w:type="dxa"/>
            <w:vAlign w:val="center"/>
          </w:tcPr>
          <w:p>
            <w:pPr>
              <w:spacing w:line="288" w:lineRule="auto"/>
              <w:jc w:val="center"/>
            </w:pPr>
            <w:r>
              <w:t>标准器最大允许误差</w:t>
            </w:r>
          </w:p>
        </w:tc>
        <w:tc>
          <w:tcPr>
            <w:tcW w:w="1854" w:type="dxa"/>
            <w:vAlign w:val="center"/>
          </w:tcPr>
          <w:p>
            <w:pPr>
              <w:spacing w:line="288" w:lineRule="auto"/>
              <w:jc w:val="center"/>
            </w:pPr>
            <w:r>
              <w:t>0.058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980" w:type="dxa"/>
            <w:vAlign w:val="center"/>
          </w:tcPr>
          <w:p>
            <w:pPr>
              <w:spacing w:line="288" w:lineRule="auto"/>
              <w:jc w:val="center"/>
              <w:rPr>
                <w:i/>
                <w:iCs/>
                <w:position w:val="-12"/>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4</m:t>
                    </m:r>
                    <m:ctrlPr>
                      <w:rPr>
                        <w:rFonts w:ascii="Cambria Math" w:hAnsi="Cambria Math"/>
                        <w:i/>
                        <w:sz w:val="24"/>
                      </w:rPr>
                    </m:ctrlPr>
                  </m:sub>
                </m:sSub>
              </m:oMath>
            </m:oMathPara>
          </w:p>
        </w:tc>
        <w:tc>
          <w:tcPr>
            <w:tcW w:w="2410" w:type="dxa"/>
            <w:vAlign w:val="center"/>
          </w:tcPr>
          <w:p>
            <w:pPr>
              <w:spacing w:line="288" w:lineRule="auto"/>
              <w:jc w:val="center"/>
            </w:pPr>
            <w:r>
              <w:t>标准器温度稳定性</w:t>
            </w:r>
          </w:p>
        </w:tc>
        <w:tc>
          <w:tcPr>
            <w:tcW w:w="1854" w:type="dxa"/>
            <w:vAlign w:val="center"/>
          </w:tcPr>
          <w:p>
            <w:pPr>
              <w:spacing w:line="288" w:lineRule="auto"/>
              <w:jc w:val="center"/>
            </w:pPr>
            <w:r>
              <w:t>0.058 ℃</w:t>
            </w:r>
          </w:p>
        </w:tc>
      </w:tr>
    </w:tbl>
    <w:p>
      <w:pPr>
        <w:spacing w:line="288" w:lineRule="auto"/>
        <w:rPr>
          <w:rFonts w:eastAsia="黑体"/>
          <w:sz w:val="24"/>
        </w:rPr>
      </w:pPr>
      <w:r>
        <w:rPr>
          <w:sz w:val="24"/>
        </w:rPr>
        <w:t>C.7 合成标准不确定度</w:t>
      </w:r>
    </w:p>
    <w:p>
      <w:pPr>
        <w:spacing w:line="288" w:lineRule="auto"/>
        <w:ind w:firstLine="480" w:firstLineChars="200"/>
        <w:rPr>
          <w:i/>
          <w:iCs/>
          <w:position w:val="-12"/>
        </w:rPr>
      </w:pPr>
      <w:r>
        <w:rPr>
          <w:sz w:val="24"/>
        </w:rPr>
        <w:t>测定仪温度上偏差校准合成标准不确定度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oMath>
      <w:r>
        <w:rPr>
          <w:sz w:val="24"/>
        </w:rPr>
        <w:fldChar w:fldCharType="begin"/>
      </w:r>
      <w:r>
        <w:rPr>
          <w:sz w:val="24"/>
        </w:rPr>
        <w:instrText xml:space="preserve"> QUOTE </w:instrText>
      </w:r>
      <w:r>
        <w:rPr>
          <w:position w:val="-8"/>
        </w:rPr>
        <w:drawing>
          <wp:inline distT="0" distB="0" distL="0" distR="0">
            <wp:extent cx="127000" cy="194945"/>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94945"/>
                    </a:xfrm>
                    <a:prstGeom prst="rect">
                      <a:avLst/>
                    </a:prstGeom>
                    <a:noFill/>
                    <a:ln>
                      <a:noFill/>
                    </a:ln>
                  </pic:spPr>
                </pic:pic>
              </a:graphicData>
            </a:graphic>
          </wp:inline>
        </w:drawing>
      </w:r>
      <w:r>
        <w:rPr>
          <w:sz w:val="24"/>
        </w:rPr>
        <w:instrText xml:space="preserve"> </w:instrText>
      </w:r>
      <w:r>
        <w:rPr>
          <w:sz w:val="24"/>
        </w:rPr>
        <w:fldChar w:fldCharType="end"/>
      </w:r>
      <w:r>
        <w:rPr>
          <w:sz w:val="24"/>
        </w:rPr>
        <w:t>计算</w:t>
      </w:r>
    </w:p>
    <w:p>
      <w:pPr>
        <w:spacing w:line="288" w:lineRule="auto"/>
        <w:ind w:firstLine="720" w:firstLineChars="300"/>
        <w:rPr>
          <w:sz w:val="24"/>
        </w:rPr>
      </w:pPr>
      <w:r>
        <w:rPr>
          <w:sz w:val="24"/>
        </w:rPr>
        <w:t>由于</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oMath>
      <w:r>
        <w:rPr>
          <w:sz w:val="24"/>
        </w:rPr>
        <w:fldChar w:fldCharType="begin"/>
      </w:r>
      <w:r>
        <w:rPr>
          <w:sz w:val="24"/>
        </w:rPr>
        <w:instrText xml:space="preserve"> QUOTE </w:instrText>
      </w:r>
      <w:r>
        <w:rPr>
          <w:position w:val="-8"/>
        </w:rPr>
        <w:drawing>
          <wp:inline distT="0" distB="0" distL="0" distR="0">
            <wp:extent cx="135255" cy="19494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sz w:val="24"/>
        </w:rPr>
        <w:instrText xml:space="preserve"> </w:instrText>
      </w:r>
      <w:r>
        <w:rPr>
          <w:sz w:val="24"/>
        </w:rPr>
        <w:fldChar w:fldCharType="end"/>
      </w:r>
      <w:r>
        <w:rPr>
          <w:sz w:val="24"/>
        </w:rPr>
        <w:t>、</w:t>
      </w:r>
      <w:r>
        <w:rPr>
          <w:iCs/>
        </w:rPr>
        <w:fldChar w:fldCharType="begin"/>
      </w:r>
      <w:r>
        <w:rPr>
          <w:iCs/>
        </w:rPr>
        <w:instrText xml:space="preserve"> QUOTE </w:instrText>
      </w:r>
      <w:r>
        <w:rPr>
          <w:position w:val="-8"/>
        </w:rPr>
        <w:drawing>
          <wp:inline distT="0" distB="0" distL="0" distR="0">
            <wp:extent cx="135255" cy="19494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iCs/>
        </w:rPr>
        <w:instrText xml:space="preserve"> </w:instrText>
      </w:r>
      <w:r>
        <w:rPr>
          <w:iCs/>
        </w:rPr>
        <w:fldChar w:fldCharType="end"/>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3</m:t>
            </m:r>
            <m:ctrlPr>
              <w:rPr>
                <w:rFonts w:ascii="Cambria Math" w:hAnsi="Cambria Math"/>
                <w:i/>
                <w:sz w:val="24"/>
              </w:rPr>
            </m:ctrlPr>
          </m:sub>
        </m:sSub>
      </m:oMath>
      <w:r>
        <w:rPr>
          <w:iCs/>
        </w:rPr>
        <w:fldChar w:fldCharType="begin"/>
      </w:r>
      <w:r>
        <w:rPr>
          <w:iCs/>
        </w:rPr>
        <w:instrText xml:space="preserve"> QUOTE </w:instrText>
      </w:r>
      <w:r>
        <w:rPr>
          <w:position w:val="-8"/>
        </w:rPr>
        <w:drawing>
          <wp:inline distT="0" distB="0" distL="0" distR="0">
            <wp:extent cx="135255" cy="19494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iCs/>
        </w:rPr>
        <w:instrText xml:space="preserve"> </w:instrText>
      </w:r>
      <w:r>
        <w:rPr>
          <w:iCs/>
        </w:rPr>
        <w:fldChar w:fldCharType="end"/>
      </w:r>
      <w:r>
        <w:rPr>
          <w:iCs/>
        </w:rPr>
        <w:t>、</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4</m:t>
            </m:r>
            <m:ctrlPr>
              <w:rPr>
                <w:rFonts w:ascii="Cambria Math" w:hAnsi="Cambria Math"/>
                <w:i/>
                <w:sz w:val="24"/>
              </w:rPr>
            </m:ctrlPr>
          </m:sub>
        </m:sSub>
      </m:oMath>
      <w:r>
        <w:rPr>
          <w:sz w:val="24"/>
        </w:rPr>
        <w:fldChar w:fldCharType="begin"/>
      </w:r>
      <w:r>
        <w:rPr>
          <w:sz w:val="24"/>
        </w:rPr>
        <w:instrText xml:space="preserve"> QUOTE </w:instrText>
      </w:r>
      <w:r>
        <w:rPr>
          <w:position w:val="-8"/>
        </w:rPr>
        <w:drawing>
          <wp:inline distT="0" distB="0" distL="0" distR="0">
            <wp:extent cx="135255" cy="19494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sz w:val="24"/>
        </w:rPr>
        <w:instrText xml:space="preserve"> </w:instrText>
      </w:r>
      <w:r>
        <w:rPr>
          <w:sz w:val="24"/>
        </w:rPr>
        <w:fldChar w:fldCharType="end"/>
      </w:r>
      <w:r>
        <w:rPr>
          <w:sz w:val="24"/>
        </w:rPr>
        <w:t>相互独立，则合成标准不确定度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oMath>
      <w:r>
        <w:rPr>
          <w:sz w:val="24"/>
        </w:rPr>
        <w:fldChar w:fldCharType="begin"/>
      </w:r>
      <w:r>
        <w:rPr>
          <w:sz w:val="24"/>
        </w:rPr>
        <w:instrText xml:space="preserve"> QUOTE </w:instrText>
      </w:r>
      <w:r>
        <w:rPr>
          <w:position w:val="-8"/>
        </w:rPr>
        <w:drawing>
          <wp:inline distT="0" distB="0" distL="0" distR="0">
            <wp:extent cx="127000" cy="194945"/>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94945"/>
                    </a:xfrm>
                    <a:prstGeom prst="rect">
                      <a:avLst/>
                    </a:prstGeom>
                    <a:noFill/>
                    <a:ln>
                      <a:noFill/>
                    </a:ln>
                  </pic:spPr>
                </pic:pic>
              </a:graphicData>
            </a:graphic>
          </wp:inline>
        </w:drawing>
      </w:r>
      <w:r>
        <w:rPr>
          <w:sz w:val="24"/>
        </w:rPr>
        <w:instrText xml:space="preserve"> </w:instrText>
      </w:r>
      <w:r>
        <w:rPr>
          <w:sz w:val="24"/>
        </w:rPr>
        <w:fldChar w:fldCharType="end"/>
      </w:r>
      <w:r>
        <w:rPr>
          <w:sz w:val="24"/>
        </w:rPr>
        <w:t>按公式C.3计算：</w:t>
      </w:r>
    </w:p>
    <w:p>
      <w:pPr>
        <w:spacing w:before="240" w:beforeLines="100" w:after="240" w:afterLines="100" w:line="288" w:lineRule="auto"/>
        <w:ind w:firstLine="2640" w:firstLineChars="1100"/>
        <w:jc w:val="left"/>
        <w:rPr>
          <w:sz w:val="24"/>
        </w:rPr>
      </w:pP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r>
          <m:rPr/>
          <w:rPr>
            <w:rFonts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3</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4</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ctrlPr>
              <w:rPr>
                <w:rFonts w:ascii="Cambria Math" w:hAnsi="Cambria Math"/>
                <w:i/>
                <w:sz w:val="24"/>
              </w:rPr>
            </m:ctrlPr>
          </m:e>
        </m:rad>
        <m:r>
          <m:rPr/>
          <w:rPr>
            <w:rFonts w:ascii="Cambria Math" w:hAnsi="Cambria Math"/>
            <w:sz w:val="24"/>
          </w:rPr>
          <m:t>=0.086 ℃</m:t>
        </m:r>
      </m:oMath>
      <w:r>
        <w:rPr>
          <w:sz w:val="24"/>
        </w:rPr>
        <w:t xml:space="preserve">          （C.3）</w:t>
      </w:r>
    </w:p>
    <w:p>
      <w:pPr>
        <w:spacing w:line="360" w:lineRule="auto"/>
        <w:rPr>
          <w:rFonts w:eastAsia="黑体"/>
          <w:sz w:val="24"/>
        </w:rPr>
      </w:pPr>
      <w:r>
        <w:rPr>
          <w:sz w:val="24"/>
        </w:rPr>
        <w:t>C.8</w:t>
      </w:r>
      <w:r>
        <w:rPr>
          <w:rFonts w:eastAsia="黑体"/>
          <w:sz w:val="24"/>
        </w:rPr>
        <w:t xml:space="preserve"> 扩展不确定度</w:t>
      </w:r>
    </w:p>
    <w:p>
      <w:pPr>
        <w:spacing w:line="360" w:lineRule="auto"/>
        <w:rPr>
          <w:rFonts w:eastAsia="黑体"/>
          <w:szCs w:val="21"/>
        </w:rPr>
      </w:pPr>
      <w:r>
        <w:rPr>
          <w:sz w:val="24"/>
        </w:rPr>
        <w:t xml:space="preserve">     取包含因子</w:t>
      </w:r>
      <w:r>
        <w:rPr>
          <w:i/>
          <w:iCs/>
          <w:sz w:val="24"/>
        </w:rPr>
        <w:t>k</w:t>
      </w:r>
      <w:r>
        <w:rPr>
          <w:sz w:val="24"/>
        </w:rPr>
        <w:t>=2，测定仪温度上偏差测量结果不确定度为：</w:t>
      </w:r>
      <m:oMath>
        <m:r>
          <m:rPr/>
          <w:rPr>
            <w:rFonts w:ascii="Cambria Math" w:hAnsi="Cambria Math"/>
            <w:sz w:val="24"/>
          </w:rPr>
          <m:t>U=k×</m:t>
        </m:r>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r>
          <m:rPr/>
          <w:rPr>
            <w:rFonts w:ascii="Cambria Math" w:hAnsi="Cambria Math"/>
            <w:sz w:val="24"/>
          </w:rPr>
          <m:t>=0.17 ℃</m:t>
        </m:r>
      </m:oMath>
      <w:r>
        <w:rPr>
          <w:sz w:val="24"/>
        </w:rPr>
        <w:t>。</w:t>
      </w:r>
      <w:r>
        <w:rPr>
          <w:sz w:val="24"/>
        </w:rPr>
        <w:fldChar w:fldCharType="begin"/>
      </w:r>
      <w:r>
        <w:rPr>
          <w:sz w:val="24"/>
        </w:rPr>
        <w:instrText xml:space="preserve"> QUOTE </w:instrText>
      </w:r>
      <w:r>
        <w:rPr>
          <w:position w:val="-21"/>
        </w:rPr>
        <w:drawing>
          <wp:inline distT="0" distB="0" distL="0" distR="0">
            <wp:extent cx="1337945" cy="39814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37945" cy="398145"/>
                    </a:xfrm>
                    <a:prstGeom prst="rect">
                      <a:avLst/>
                    </a:prstGeom>
                    <a:noFill/>
                    <a:ln>
                      <a:noFill/>
                    </a:ln>
                  </pic:spPr>
                </pic:pic>
              </a:graphicData>
            </a:graphic>
          </wp:inline>
        </w:drawing>
      </w:r>
      <w:r>
        <w:rPr>
          <w:sz w:val="24"/>
        </w:rPr>
        <w:instrText xml:space="preserve"> </w:instrText>
      </w:r>
      <w:r>
        <w:rPr>
          <w:sz w:val="24"/>
        </w:rPr>
        <w:fldChar w:fldCharType="end"/>
      </w:r>
      <w:r>
        <w:rPr>
          <w:rFonts w:eastAsia="黑体"/>
          <w:szCs w:val="21"/>
        </w:rPr>
        <w:br w:type="page"/>
      </w:r>
    </w:p>
    <w:p>
      <w:pPr>
        <w:pStyle w:val="3"/>
        <w:pageBreakBefore/>
        <w:spacing w:line="360" w:lineRule="auto"/>
        <w:rPr>
          <w:rFonts w:ascii="Times New Roman" w:hAnsi="Times New Roman"/>
          <w:b w:val="0"/>
          <w:sz w:val="28"/>
          <w:szCs w:val="28"/>
        </w:rPr>
      </w:pPr>
      <w:bookmarkStart w:id="33" w:name="_Toc180395278"/>
      <w:r>
        <w:rPr>
          <w:rFonts w:ascii="Times New Roman" w:hAnsi="Times New Roman"/>
          <w:b w:val="0"/>
          <w:sz w:val="28"/>
          <w:szCs w:val="28"/>
        </w:rPr>
        <w:t>附录 D</w:t>
      </w:r>
      <w:bookmarkEnd w:id="33"/>
    </w:p>
    <w:p>
      <w:pPr>
        <w:spacing w:line="360" w:lineRule="auto"/>
        <w:jc w:val="center"/>
        <w:rPr>
          <w:rFonts w:eastAsia="黑体"/>
          <w:sz w:val="28"/>
          <w:szCs w:val="28"/>
        </w:rPr>
      </w:pPr>
      <w:r>
        <w:rPr>
          <w:rFonts w:eastAsia="黑体"/>
          <w:sz w:val="28"/>
          <w:szCs w:val="28"/>
        </w:rPr>
        <w:t>沥青延度试验仪拉伸装置示值误差测量结果不确定度评定</w:t>
      </w:r>
    </w:p>
    <w:p>
      <w:pPr>
        <w:widowControl/>
        <w:spacing w:line="360" w:lineRule="auto"/>
        <w:textAlignment w:val="baseline"/>
        <w:rPr>
          <w:sz w:val="24"/>
        </w:rPr>
      </w:pPr>
      <w:r>
        <w:rPr>
          <w:sz w:val="24"/>
        </w:rPr>
        <w:t>D.1 被测对象</w:t>
      </w:r>
    </w:p>
    <w:p>
      <w:pPr>
        <w:widowControl/>
        <w:spacing w:line="360" w:lineRule="auto"/>
        <w:ind w:firstLine="480" w:firstLineChars="200"/>
        <w:textAlignment w:val="baseline"/>
        <w:rPr>
          <w:sz w:val="24"/>
        </w:rPr>
      </w:pPr>
      <w:r>
        <w:rPr>
          <w:sz w:val="24"/>
        </w:rPr>
        <w:t>选一台常见的沥青延度试验仪做为被测对象，拉伸装置分辨率为0.1 mm，拉伸长度为1000 mm。</w:t>
      </w:r>
    </w:p>
    <w:p>
      <w:pPr>
        <w:widowControl/>
        <w:spacing w:line="360" w:lineRule="auto"/>
        <w:textAlignment w:val="baseline"/>
        <w:rPr>
          <w:rFonts w:eastAsia="黑体"/>
          <w:sz w:val="24"/>
        </w:rPr>
      </w:pPr>
      <w:r>
        <w:rPr>
          <w:sz w:val="24"/>
        </w:rPr>
        <w:t>D.2 测量标准</w:t>
      </w:r>
    </w:p>
    <w:p>
      <w:pPr>
        <w:widowControl/>
        <w:spacing w:line="360" w:lineRule="auto"/>
        <w:ind w:firstLine="480" w:firstLineChars="200"/>
        <w:textAlignment w:val="baseline"/>
        <w:rPr>
          <w:sz w:val="24"/>
        </w:rPr>
      </w:pPr>
      <w:r>
        <w:rPr>
          <w:sz w:val="24"/>
        </w:rPr>
        <w:t>钢卷尺：</w:t>
      </w:r>
    </w:p>
    <w:p>
      <w:pPr>
        <w:widowControl/>
        <w:spacing w:line="360" w:lineRule="auto"/>
        <w:ind w:firstLine="480" w:firstLineChars="200"/>
        <w:textAlignment w:val="baseline"/>
        <w:rPr>
          <w:sz w:val="24"/>
        </w:rPr>
      </w:pPr>
      <w:r>
        <w:rPr>
          <w:sz w:val="24"/>
        </w:rPr>
        <w:t>标尺间隔：1 mm，1000 mm时最大允许误差：±0.5 mm。</w:t>
      </w:r>
    </w:p>
    <w:p>
      <w:pPr>
        <w:spacing w:line="360" w:lineRule="auto"/>
        <w:rPr>
          <w:rFonts w:eastAsia="黑体"/>
          <w:sz w:val="24"/>
        </w:rPr>
      </w:pPr>
      <w:r>
        <w:rPr>
          <w:sz w:val="24"/>
        </w:rPr>
        <w:t>D.3 校准方法</w:t>
      </w:r>
    </w:p>
    <w:p>
      <w:pPr>
        <w:widowControl/>
        <w:spacing w:line="360" w:lineRule="auto"/>
        <w:ind w:firstLine="480" w:firstLineChars="200"/>
        <w:textAlignment w:val="baseline"/>
        <w:rPr>
          <w:sz w:val="24"/>
        </w:rPr>
      </w:pPr>
      <w:r>
        <w:rPr>
          <w:sz w:val="24"/>
        </w:rPr>
        <w:t>测量前将拉伸装置指示值调至零点，启动拉伸装置使其前进到1000 mm附近时停止拉伸，用钢卷尺和延度试验仪拉伸装置进行比较测量计算拉伸装置示值误差。</w:t>
      </w:r>
    </w:p>
    <w:p>
      <w:pPr>
        <w:widowControl/>
        <w:spacing w:line="360" w:lineRule="auto"/>
        <w:textAlignment w:val="baseline"/>
        <w:rPr>
          <w:rFonts w:eastAsia="黑体"/>
          <w:sz w:val="24"/>
        </w:rPr>
      </w:pPr>
      <w:r>
        <w:rPr>
          <w:sz w:val="24"/>
        </w:rPr>
        <w:t xml:space="preserve">D.4 数学模型 </w:t>
      </w:r>
    </w:p>
    <w:p>
      <w:pPr>
        <w:widowControl/>
        <w:spacing w:line="360" w:lineRule="auto"/>
        <w:textAlignment w:val="baseline"/>
        <w:rPr>
          <w:sz w:val="24"/>
        </w:rPr>
      </w:pPr>
      <w:r>
        <w:rPr>
          <w:sz w:val="24"/>
        </w:rPr>
        <w:t>D.4.1 拉伸装置示值误差公式</w:t>
      </w:r>
    </w:p>
    <w:p>
      <w:pPr>
        <w:widowControl/>
        <w:spacing w:line="360" w:lineRule="auto"/>
        <w:jc w:val="right"/>
        <w:textAlignment w:val="baseline"/>
        <w:rPr>
          <w:sz w:val="24"/>
        </w:rPr>
      </w:pPr>
      <m:oMath>
        <m:r>
          <m:rPr/>
          <w:rPr>
            <w:rFonts w:ascii="Cambria Math" w:hAnsi="Cambria Math"/>
            <w:sz w:val="24"/>
          </w:rPr>
          <m:t>ΔL=L−</m:t>
        </m:r>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oMath>
      <w:r>
        <w:rPr>
          <w:sz w:val="24"/>
        </w:rPr>
        <w:t xml:space="preserve">                         （D.1）</w:t>
      </w:r>
    </w:p>
    <w:p>
      <w:pPr>
        <w:tabs>
          <w:tab w:val="left" w:pos="1620"/>
          <w:tab w:val="left" w:pos="8460"/>
        </w:tabs>
        <w:spacing w:line="300" w:lineRule="auto"/>
        <w:ind w:firstLine="480" w:firstLineChars="200"/>
        <w:rPr>
          <w:sz w:val="24"/>
        </w:rPr>
      </w:pPr>
      <w:r>
        <w:rPr>
          <w:sz w:val="24"/>
        </w:rPr>
        <w:t>式中：</w:t>
      </w:r>
    </w:p>
    <w:p>
      <w:pPr>
        <w:tabs>
          <w:tab w:val="left" w:pos="1620"/>
          <w:tab w:val="left" w:pos="8460"/>
        </w:tabs>
        <w:spacing w:line="360" w:lineRule="auto"/>
        <w:ind w:firstLine="480" w:firstLineChars="200"/>
        <w:rPr>
          <w:sz w:val="24"/>
        </w:rPr>
      </w:pPr>
      <m:oMath>
        <m:r>
          <m:rPr/>
          <w:rPr>
            <w:rFonts w:ascii="Cambria Math" w:hAnsi="Cambria Math"/>
            <w:sz w:val="24"/>
          </w:rPr>
          <m:t>ΔL</m:t>
        </m:r>
      </m:oMath>
      <w:r>
        <w:rPr>
          <w:sz w:val="24"/>
        </w:rPr>
        <w:t>——沥青延度试验仪拉伸装置示值误差，mm</w:t>
      </w:r>
    </w:p>
    <w:p>
      <w:pPr>
        <w:tabs>
          <w:tab w:val="left" w:pos="1620"/>
          <w:tab w:val="left" w:pos="8460"/>
        </w:tabs>
        <w:spacing w:line="360" w:lineRule="auto"/>
        <w:ind w:firstLine="480" w:firstLineChars="200"/>
        <w:rPr>
          <w:sz w:val="24"/>
        </w:rPr>
      </w:pPr>
      <m:oMath>
        <m:r>
          <m:rPr/>
          <w:rPr>
            <w:rFonts w:ascii="Cambria Math" w:hAnsi="Cambria Math"/>
            <w:sz w:val="24"/>
          </w:rPr>
          <m:t>L</m:t>
        </m:r>
      </m:oMath>
      <w:r>
        <w:rPr>
          <w:sz w:val="24"/>
        </w:rPr>
        <w:t>——沥青延度试验仪拉伸装置示值，mm</w:t>
      </w:r>
    </w:p>
    <w:p>
      <w:pPr>
        <w:tabs>
          <w:tab w:val="left" w:pos="1620"/>
          <w:tab w:val="left" w:pos="8460"/>
        </w:tabs>
        <w:spacing w:line="360" w:lineRule="auto"/>
        <w:ind w:firstLine="480" w:firstLineChars="200"/>
        <w:rPr>
          <w:sz w:val="24"/>
        </w:rPr>
      </w:pPr>
      <m:oMath>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oMath>
      <w:r>
        <w:rPr>
          <w:sz w:val="24"/>
        </w:rPr>
        <w:t>——钢卷尺测得的实际拉伸距离，mm</w:t>
      </w:r>
    </w:p>
    <w:p>
      <w:pPr>
        <w:spacing w:before="240" w:beforeLines="100" w:after="240" w:afterLines="100" w:line="360" w:lineRule="auto"/>
        <w:ind w:firstLine="480"/>
        <w:rPr>
          <w:sz w:val="24"/>
        </w:rPr>
      </w:pPr>
      <w:r>
        <w:rPr>
          <w:sz w:val="24"/>
        </w:rPr>
        <w:t>不确定度来源：拉伸装置示值测量重复性引入的标准不确定度；拉伸装置显示分辨力引入的标准不确定度；钢卷尺示值误差引入的标准不确定度。</w:t>
      </w:r>
    </w:p>
    <w:p>
      <w:pPr>
        <w:spacing w:line="360" w:lineRule="auto"/>
        <w:rPr>
          <w:rFonts w:eastAsia="黑体"/>
          <w:sz w:val="24"/>
        </w:rPr>
      </w:pPr>
      <w:r>
        <w:rPr>
          <w:sz w:val="24"/>
        </w:rPr>
        <w:t>D.5 标准不确定度分量</w:t>
      </w:r>
    </w:p>
    <w:p>
      <w:pPr>
        <w:spacing w:line="360" w:lineRule="auto"/>
        <w:rPr>
          <w:i/>
          <w:iCs/>
        </w:rPr>
      </w:pPr>
      <w:r>
        <w:rPr>
          <w:sz w:val="24"/>
        </w:rPr>
        <w:t>D.5.1 测量重复性引入的标准不确定度</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m:sty m:val="p"/>
              </m:rPr>
              <w:rPr>
                <w:rFonts w:ascii="Cambria Math" w:hAnsi="Cambria Math"/>
                <w:sz w:val="24"/>
              </w:rPr>
              <m:t>1</m:t>
            </m:r>
            <m:ctrlPr>
              <w:rPr>
                <w:rFonts w:ascii="Cambria Math" w:hAnsi="Cambria Math"/>
                <w:i/>
                <w:iCs/>
                <w:sz w:val="24"/>
              </w:rPr>
            </m:ctrlPr>
          </m:sub>
        </m:sSub>
      </m:oMath>
    </w:p>
    <w:p>
      <w:pPr>
        <w:spacing w:line="360" w:lineRule="auto"/>
        <w:ind w:firstLine="480" w:firstLineChars="200"/>
        <w:rPr>
          <w:sz w:val="24"/>
        </w:rPr>
      </w:pPr>
      <w:r>
        <w:rPr>
          <w:sz w:val="24"/>
        </w:rPr>
        <w:t>先确定拉伸装置的示值“0”点，启动拉伸装置使其前进1000 mm，到达目标拉伸长度后，用钢卷尺进行测量实际值并计算拉伸装置示值误差。重复上述过程，在重复性条件下连续测量10次，得到一测量列为2.3 mm、2.2 mm、2.2 mm、2.1 mm、2.1 mm、2.3 mm、2.2 mm、2.1 mm、2.2 mm、2.2 mm，根据贝赛尔公式计算实验标准偏差：</w:t>
      </w:r>
    </w:p>
    <w:p>
      <w:pPr>
        <w:spacing w:line="360" w:lineRule="auto"/>
        <w:jc w:val="right"/>
        <w:rPr>
          <w:sz w:val="24"/>
        </w:rPr>
      </w:pPr>
      <m:oMath>
        <m:r>
          <m:rPr/>
          <w:rPr>
            <w:rFonts w:ascii="Cambria Math" w:hAnsi="Cambria Math"/>
            <w:sz w:val="24"/>
          </w:rPr>
          <m:t>s=</m:t>
        </m:r>
        <m:rad>
          <m:radPr>
            <m:degHide m:val="1"/>
            <m:ctrlPr>
              <w:rPr>
                <w:rFonts w:ascii="Cambria Math" w:hAnsi="Cambria Math"/>
                <w:i/>
                <w:sz w:val="24"/>
              </w:rPr>
            </m:ctrlPr>
          </m:radPr>
          <m:deg>
            <m:ctrlPr>
              <w:rPr>
                <w:rFonts w:ascii="Cambria Math" w:hAnsi="Cambria Math"/>
                <w:i/>
                <w:sz w:val="24"/>
              </w:rPr>
            </m:ctrlPr>
          </m:deg>
          <m:e>
            <m:f>
              <m:fPr>
                <m:ctrlPr>
                  <w:rPr>
                    <w:rFonts w:ascii="Cambria Math" w:hAnsi="Cambria Math"/>
                    <w:i/>
                    <w:sz w:val="24"/>
                  </w:rPr>
                </m:ctrlPr>
              </m:fPr>
              <m:num>
                <m:nary>
                  <m:naryPr>
                    <m:chr m:val="∑"/>
                    <m:limLoc m:val="undOvr"/>
                    <m:ctrlPr>
                      <w:rPr>
                        <w:rFonts w:ascii="Cambria Math" w:hAnsi="Cambria Math"/>
                        <w:i/>
                        <w:sz w:val="24"/>
                      </w:rPr>
                    </m:ctrlPr>
                  </m:naryPr>
                  <m:sub>
                    <m:r>
                      <m:rPr/>
                      <w:rPr>
                        <w:rFonts w:ascii="Cambria Math" w:hAnsi="Cambria Math"/>
                        <w:sz w:val="24"/>
                      </w:rPr>
                      <m:t>i=1</m:t>
                    </m:r>
                    <m:ctrlPr>
                      <w:rPr>
                        <w:rFonts w:ascii="Cambria Math" w:hAnsi="Cambria Math"/>
                        <w:i/>
                        <w:sz w:val="24"/>
                      </w:rPr>
                    </m:ctrlPr>
                  </m:sub>
                  <m:sup>
                    <m:r>
                      <m:rPr/>
                      <w:rPr>
                        <w:rFonts w:ascii="Cambria Math" w:hAnsi="Cambria Math"/>
                        <w:sz w:val="24"/>
                      </w:rPr>
                      <m:t>n</m:t>
                    </m:r>
                    <m:ctrlPr>
                      <w:rPr>
                        <w:rFonts w:ascii="Cambria Math" w:hAnsi="Cambria Math"/>
                        <w:i/>
                        <w:sz w:val="24"/>
                      </w:rPr>
                    </m:ctrlPr>
                  </m:sup>
                  <m:e>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x</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acc>
                          <m:accPr>
                            <m:chr m:val="̅"/>
                            <m:ctrlPr>
                              <w:rPr>
                                <w:rFonts w:ascii="Cambria Math" w:hAnsi="Cambria Math"/>
                                <w:i/>
                                <w:sz w:val="24"/>
                              </w:rPr>
                            </m:ctrlPr>
                          </m:accPr>
                          <m:e>
                            <m:r>
                              <m:rPr/>
                              <w:rPr>
                                <w:rFonts w:ascii="Cambria Math" w:hAnsi="Cambria Math"/>
                                <w:sz w:val="24"/>
                              </w:rPr>
                              <m:t>x</m:t>
                            </m:r>
                            <m:ctrlPr>
                              <w:rPr>
                                <w:rFonts w:ascii="Cambria Math" w:hAnsi="Cambria Math"/>
                                <w:i/>
                                <w:sz w:val="24"/>
                              </w:rPr>
                            </m:ctrlPr>
                          </m:e>
                        </m:acc>
                        <m:ctrlPr>
                          <w:rPr>
                            <w:rFonts w:ascii="Cambria Math" w:hAnsi="Cambria Math"/>
                            <w:i/>
                            <w:sz w:val="24"/>
                          </w:rPr>
                        </m:ctrlPr>
                      </m:e>
                    </m:d>
                    <m:ctrlPr>
                      <w:rPr>
                        <w:rFonts w:ascii="Cambria Math" w:hAnsi="Cambria Math"/>
                        <w:i/>
                        <w:sz w:val="24"/>
                      </w:rPr>
                    </m:ctrlPr>
                  </m:e>
                </m:nary>
                <m:ctrlPr>
                  <w:rPr>
                    <w:rFonts w:ascii="Cambria Math" w:hAnsi="Cambria Math"/>
                    <w:i/>
                    <w:sz w:val="24"/>
                  </w:rPr>
                </m:ctrlPr>
              </m:num>
              <m:den>
                <m:r>
                  <m:rPr/>
                  <w:rPr>
                    <w:rFonts w:ascii="Cambria Math" w:hAnsi="Cambria Math"/>
                    <w:sz w:val="24"/>
                  </w:rPr>
                  <m:t>n−1</m:t>
                </m:r>
                <m:ctrlPr>
                  <w:rPr>
                    <w:rFonts w:ascii="Cambria Math" w:hAnsi="Cambria Math"/>
                    <w:i/>
                    <w:sz w:val="24"/>
                  </w:rPr>
                </m:ctrlPr>
              </m:den>
            </m:f>
            <m:ctrlPr>
              <w:rPr>
                <w:rFonts w:ascii="Cambria Math" w:hAnsi="Cambria Math"/>
                <w:i/>
                <w:sz w:val="24"/>
              </w:rPr>
            </m:ctrlPr>
          </m:e>
        </m:rad>
        <m:r>
          <m:rPr/>
          <w:rPr>
            <w:rFonts w:ascii="Cambria Math" w:hAnsi="Cambria Math"/>
            <w:sz w:val="24"/>
          </w:rPr>
          <m:t>=0.074 mm</m:t>
        </m:r>
      </m:oMath>
      <w:r>
        <w:rPr>
          <w:sz w:val="24"/>
        </w:rPr>
        <w:t xml:space="preserve">                   （D.2）</w:t>
      </w:r>
    </w:p>
    <w:p>
      <w:pPr>
        <w:spacing w:line="360" w:lineRule="auto"/>
        <w:jc w:val="center"/>
        <w:rPr>
          <w:iCs/>
          <w:sz w:val="24"/>
        </w:rPr>
      </w:pPr>
      <w:r>
        <w:rPr>
          <w:iCs/>
          <w:sz w:val="24"/>
        </w:rPr>
        <w:t>则</w:t>
      </w:r>
      <w:r>
        <w:rPr>
          <w:iCs/>
          <w:sz w:val="24"/>
        </w:rPr>
        <w:fldChar w:fldCharType="begin"/>
      </w:r>
      <w:r>
        <w:rPr>
          <w:iCs/>
          <w:sz w:val="24"/>
        </w:rPr>
        <w:instrText xml:space="preserve"> QUOTE </w:instrText>
      </w:r>
      <w:r>
        <w:rPr>
          <w:position w:val="-6"/>
        </w:rPr>
        <w:drawing>
          <wp:inline distT="0" distB="0" distL="0" distR="0">
            <wp:extent cx="1033145" cy="194945"/>
            <wp:effectExtent l="0" t="0" r="0" b="0"/>
            <wp:docPr id="295520635" name="图片 295520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20635" name="图片 295520635"/>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033145" cy="194945"/>
                    </a:xfrm>
                    <a:prstGeom prst="rect">
                      <a:avLst/>
                    </a:prstGeom>
                    <a:noFill/>
                    <a:ln>
                      <a:noFill/>
                    </a:ln>
                  </pic:spPr>
                </pic:pic>
              </a:graphicData>
            </a:graphic>
          </wp:inline>
        </w:drawing>
      </w:r>
      <w:r>
        <w:rPr>
          <w:iCs/>
          <w:sz w:val="24"/>
        </w:rPr>
        <w:instrText xml:space="preserve"> </w:instrText>
      </w:r>
      <w:r>
        <w:rPr>
          <w:iCs/>
          <w:sz w:val="24"/>
        </w:rPr>
        <w:fldChar w:fldCharType="end"/>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ascii="Cambria Math" w:hAnsi="Cambria Math"/>
                <w:sz w:val="24"/>
              </w:rPr>
              <m:t>1</m:t>
            </m:r>
            <m:ctrlPr>
              <w:rPr>
                <w:rFonts w:ascii="Cambria Math" w:hAnsi="Cambria Math"/>
                <w:i/>
                <w:iCs/>
                <w:sz w:val="24"/>
              </w:rPr>
            </m:ctrlPr>
          </m:sub>
        </m:sSub>
        <m:r>
          <m:rPr/>
          <w:rPr>
            <w:rFonts w:ascii="Cambria Math" w:hAnsi="Cambria Math"/>
            <w:sz w:val="24"/>
          </w:rPr>
          <m:t>=s=0.074 mm</m:t>
        </m:r>
      </m:oMath>
    </w:p>
    <w:p>
      <w:pPr>
        <w:spacing w:line="312" w:lineRule="auto"/>
        <w:rPr>
          <w:sz w:val="24"/>
        </w:rPr>
      </w:pPr>
      <w:r>
        <w:rPr>
          <w:sz w:val="24"/>
        </w:rPr>
        <w:t>D.5.2 拉伸装置显示分辨力引入的标准不确定度</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m:sty m:val="p"/>
              </m:rPr>
              <w:rPr>
                <w:rFonts w:ascii="Cambria Math" w:hAnsi="Cambria Math"/>
                <w:sz w:val="24"/>
              </w:rPr>
              <m:t>2</m:t>
            </m:r>
            <m:ctrlPr>
              <w:rPr>
                <w:rFonts w:ascii="Cambria Math" w:hAnsi="Cambria Math"/>
                <w:i/>
                <w:iCs/>
                <w:sz w:val="24"/>
              </w:rPr>
            </m:ctrlPr>
          </m:sub>
        </m:sSub>
      </m:oMath>
    </w:p>
    <w:p>
      <w:pPr>
        <w:spacing w:line="312" w:lineRule="auto"/>
        <w:ind w:firstLine="480"/>
        <w:rPr>
          <w:sz w:val="24"/>
        </w:rPr>
      </w:pPr>
      <w:r>
        <w:rPr>
          <w:sz w:val="24"/>
        </w:rPr>
        <w:t>拉伸装置电机步进间隔为0.1 mm，按均匀分布，由此引入的标准不确定度：</w:t>
      </w:r>
    </w:p>
    <w:p>
      <w:pPr>
        <w:spacing w:line="312" w:lineRule="auto"/>
        <w:ind w:firstLine="480"/>
        <w:rPr>
          <w:sz w:val="24"/>
        </w:rPr>
      </w:pPr>
      <m:oMathPara>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ascii="Cambria Math" w:hAnsi="Cambria Math"/>
                  <w:sz w:val="24"/>
                </w:rPr>
                <m:t>2</m:t>
              </m:r>
              <m:ctrlPr>
                <w:rPr>
                  <w:rFonts w:ascii="Cambria Math" w:hAnsi="Cambria Math"/>
                  <w:i/>
                  <w:iCs/>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0.1</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=0.058 mm</m:t>
          </m:r>
        </m:oMath>
      </m:oMathPara>
    </w:p>
    <w:p>
      <w:pPr>
        <w:adjustRightInd w:val="0"/>
        <w:snapToGrid w:val="0"/>
        <w:spacing w:line="360" w:lineRule="auto"/>
        <w:ind w:firstLine="480" w:firstLineChars="200"/>
        <w:rPr>
          <w:sz w:val="24"/>
        </w:rPr>
      </w:pPr>
      <w:r>
        <w:rPr>
          <w:sz w:val="24"/>
        </w:rPr>
        <w:t>测量重复性引入的标准不确定度大于仪器分辨力引入的标准不确定度，取其中较大者，则不考虑仪器分辨力引入的标准不确定度分量。</w:t>
      </w:r>
    </w:p>
    <w:p>
      <w:pPr>
        <w:spacing w:line="312" w:lineRule="auto"/>
        <w:rPr>
          <w:sz w:val="24"/>
        </w:rPr>
      </w:pPr>
      <w:r>
        <w:rPr>
          <w:sz w:val="24"/>
        </w:rPr>
        <w:t>D.5.3 钢卷尺示值误差引入的标准不确定度</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m:sty m:val="p"/>
              </m:rPr>
              <w:rPr>
                <w:rFonts w:ascii="Cambria Math" w:hAnsi="Cambria Math"/>
                <w:sz w:val="24"/>
              </w:rPr>
              <m:t>3</m:t>
            </m:r>
            <m:ctrlPr>
              <w:rPr>
                <w:rFonts w:ascii="Cambria Math" w:hAnsi="Cambria Math"/>
                <w:i/>
                <w:iCs/>
                <w:sz w:val="24"/>
              </w:rPr>
            </m:ctrlPr>
          </m:sub>
        </m:sSub>
      </m:oMath>
    </w:p>
    <w:p>
      <w:pPr>
        <w:spacing w:line="312" w:lineRule="auto"/>
        <w:ind w:firstLine="480" w:firstLineChars="200"/>
        <w:rPr>
          <w:sz w:val="24"/>
        </w:rPr>
      </w:pPr>
      <w:r>
        <w:rPr>
          <w:sz w:val="24"/>
        </w:rPr>
        <w:t>根据钢卷尺最大允许误差：±0. 5 mm，不确定度区间半宽0.25 mm，按均匀分布考虑，则钢卷尺最大允许误差引入的标准不确定度：</w:t>
      </w:r>
    </w:p>
    <w:p>
      <w:pPr>
        <w:spacing w:line="312" w:lineRule="auto"/>
        <w:ind w:firstLine="840" w:firstLineChars="350"/>
        <w:rPr>
          <w:sz w:val="24"/>
        </w:rPr>
      </w:pPr>
      <m:oMathPara>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ascii="Cambria Math" w:hAnsi="Cambria Math"/>
                  <w:sz w:val="24"/>
                </w:rPr>
                <m:t>3</m:t>
              </m:r>
              <m:ctrlPr>
                <w:rPr>
                  <w:rFonts w:ascii="Cambria Math" w:hAnsi="Cambria Math"/>
                  <w:i/>
                  <w:iCs/>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a</m:t>
              </m:r>
              <m:ctrlPr>
                <w:rPr>
                  <w:rFonts w:ascii="Cambria Math" w:hAnsi="Cambria Math"/>
                  <w:i/>
                  <w:sz w:val="24"/>
                </w:rPr>
              </m:ctrlPr>
            </m:num>
            <m:den>
              <m:r>
                <m:rPr/>
                <w:rPr>
                  <w:rFonts w:ascii="Cambria Math" w:hAnsi="Cambria Math"/>
                  <w:sz w:val="24"/>
                </w:rPr>
                <m:t>k</m:t>
              </m:r>
              <m:ctrlPr>
                <w:rPr>
                  <w:rFonts w:ascii="Cambria Math" w:hAnsi="Cambria Math"/>
                  <w:i/>
                  <w:sz w:val="24"/>
                </w:rPr>
              </m:ctrlPr>
            </m:den>
          </m:f>
          <m:r>
            <m:rPr/>
            <w:rPr>
              <w:rFonts w:ascii="Cambria Math" w:hAnsi="Cambria Math"/>
              <w:sz w:val="24"/>
            </w:rPr>
            <m:t>=</m:t>
          </m:r>
          <m:f>
            <m:fPr>
              <m:ctrlPr>
                <w:rPr>
                  <w:rFonts w:ascii="Cambria Math" w:hAnsi="Cambria Math"/>
                  <w:i/>
                  <w:sz w:val="24"/>
                </w:rPr>
              </m:ctrlPr>
            </m:fPr>
            <m:num>
              <m:r>
                <m:rPr/>
                <w:rPr>
                  <w:rFonts w:ascii="Cambria Math" w:hAnsi="Cambria Math"/>
                  <w:sz w:val="24"/>
                </w:rPr>
                <m:t>0.25</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=0.15 mm</m:t>
          </m:r>
        </m:oMath>
      </m:oMathPara>
    </w:p>
    <w:p>
      <w:pPr>
        <w:spacing w:line="312" w:lineRule="auto"/>
        <w:jc w:val="left"/>
        <w:rPr>
          <w:sz w:val="24"/>
        </w:rPr>
      </w:pPr>
      <w:r>
        <w:rPr>
          <w:sz w:val="24"/>
        </w:rPr>
        <w:t>D.6</w:t>
      </w:r>
      <w:r>
        <w:rPr>
          <w:rFonts w:eastAsia="黑体"/>
          <w:sz w:val="24"/>
        </w:rPr>
        <w:t xml:space="preserve"> </w:t>
      </w:r>
      <w:r>
        <w:rPr>
          <w:sz w:val="24"/>
        </w:rPr>
        <w:t>标准不确定度分量汇总表见表D.1</w:t>
      </w:r>
    </w:p>
    <w:p>
      <w:pPr>
        <w:spacing w:line="288" w:lineRule="auto"/>
        <w:ind w:firstLine="210" w:firstLineChars="100"/>
        <w:jc w:val="center"/>
        <w:rPr>
          <w:rFonts w:eastAsia="黑体"/>
        </w:rPr>
      </w:pPr>
      <w:r>
        <w:rPr>
          <w:rFonts w:eastAsia="黑体"/>
        </w:rPr>
        <w:t>表</w:t>
      </w:r>
      <w:r>
        <w:rPr>
          <w:rFonts w:eastAsia="黑体"/>
          <w:szCs w:val="21"/>
        </w:rPr>
        <w:t>D.1</w:t>
      </w:r>
      <w:r>
        <w:rPr>
          <w:rFonts w:eastAsia="黑体"/>
        </w:rPr>
        <w:t xml:space="preserve">  沥青延度试验仪测量标准不确定度分量汇总表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410"/>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980" w:type="dxa"/>
            <w:vAlign w:val="center"/>
          </w:tcPr>
          <w:p>
            <w:pPr>
              <w:spacing w:line="288" w:lineRule="auto"/>
              <w:jc w:val="center"/>
            </w:pPr>
            <w:r>
              <w:t>标准不确定度</w:t>
            </w:r>
          </w:p>
        </w:tc>
        <w:tc>
          <w:tcPr>
            <w:tcW w:w="2410" w:type="dxa"/>
            <w:vAlign w:val="center"/>
          </w:tcPr>
          <w:p>
            <w:pPr>
              <w:spacing w:line="288" w:lineRule="auto"/>
              <w:jc w:val="center"/>
            </w:pPr>
            <w:r>
              <w:t>不确定度来源</w:t>
            </w:r>
          </w:p>
        </w:tc>
        <w:tc>
          <w:tcPr>
            <w:tcW w:w="1854" w:type="dxa"/>
            <w:vAlign w:val="center"/>
          </w:tcPr>
          <w:p>
            <w:pPr>
              <w:spacing w:line="288" w:lineRule="auto"/>
              <w:jc w:val="center"/>
            </w:pPr>
            <w: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80" w:type="dxa"/>
            <w:vAlign w:val="center"/>
          </w:tcPr>
          <w:p>
            <w:pPr>
              <w:spacing w:line="288" w:lineRule="auto"/>
              <w:jc w:val="center"/>
              <w:rPr>
                <w:szCs w:val="21"/>
              </w:rPr>
            </w:pPr>
            <m:oMathPara>
              <m:oMath>
                <m:sSub>
                  <m:sSubPr>
                    <m:ctrlPr>
                      <w:rPr>
                        <w:rFonts w:ascii="Cambria Math" w:hAnsi="Cambria Math"/>
                        <w:i/>
                        <w:iCs/>
                        <w:szCs w:val="21"/>
                      </w:rPr>
                    </m:ctrlPr>
                  </m:sSubPr>
                  <m:e>
                    <m:r>
                      <m:rPr/>
                      <w:rPr>
                        <w:rFonts w:ascii="Cambria Math" w:hAnsi="Cambria Math"/>
                        <w:szCs w:val="21"/>
                      </w:rPr>
                      <m:t>u</m:t>
                    </m:r>
                    <m:ctrlPr>
                      <w:rPr>
                        <w:rFonts w:ascii="Cambria Math" w:hAnsi="Cambria Math"/>
                        <w:i/>
                        <w:iCs/>
                        <w:szCs w:val="21"/>
                      </w:rPr>
                    </m:ctrlPr>
                  </m:e>
                  <m:sub>
                    <m:r>
                      <m:rPr>
                        <m:sty m:val="p"/>
                      </m:rPr>
                      <w:rPr>
                        <w:rFonts w:ascii="Cambria Math" w:hAnsi="Cambria Math"/>
                        <w:szCs w:val="21"/>
                      </w:rPr>
                      <m:t>1</m:t>
                    </m:r>
                    <m:ctrlPr>
                      <w:rPr>
                        <w:rFonts w:ascii="Cambria Math" w:hAnsi="Cambria Math"/>
                        <w:i/>
                        <w:iCs/>
                        <w:szCs w:val="21"/>
                      </w:rPr>
                    </m:ctrlPr>
                  </m:sub>
                </m:sSub>
              </m:oMath>
            </m:oMathPara>
          </w:p>
        </w:tc>
        <w:tc>
          <w:tcPr>
            <w:tcW w:w="2410" w:type="dxa"/>
            <w:vAlign w:val="center"/>
          </w:tcPr>
          <w:p>
            <w:pPr>
              <w:spacing w:line="288" w:lineRule="auto"/>
              <w:jc w:val="center"/>
              <w:rPr>
                <w:szCs w:val="21"/>
              </w:rPr>
            </w:pPr>
            <w:r>
              <w:rPr>
                <w:szCs w:val="21"/>
              </w:rPr>
              <w:t>测量重复性</w:t>
            </w:r>
          </w:p>
        </w:tc>
        <w:tc>
          <w:tcPr>
            <w:tcW w:w="1854" w:type="dxa"/>
            <w:vAlign w:val="center"/>
          </w:tcPr>
          <w:p>
            <w:pPr>
              <w:spacing w:line="288" w:lineRule="auto"/>
              <w:jc w:val="center"/>
              <w:rPr>
                <w:szCs w:val="21"/>
              </w:rPr>
            </w:pPr>
            <w:r>
              <w:rPr>
                <w:szCs w:val="21"/>
              </w:rPr>
              <w:t>0.074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980" w:type="dxa"/>
            <w:vAlign w:val="center"/>
          </w:tcPr>
          <w:p>
            <w:pPr>
              <w:spacing w:line="288" w:lineRule="auto"/>
              <w:jc w:val="center"/>
              <w:rPr>
                <w:i/>
                <w:iCs/>
                <w:position w:val="-12"/>
                <w:szCs w:val="21"/>
              </w:rPr>
            </w:pPr>
            <m:oMathPara>
              <m:oMath>
                <m:sSub>
                  <m:sSubPr>
                    <m:ctrlPr>
                      <w:rPr>
                        <w:rFonts w:ascii="Cambria Math" w:hAnsi="Cambria Math"/>
                        <w:i/>
                        <w:iCs/>
                        <w:szCs w:val="21"/>
                      </w:rPr>
                    </m:ctrlPr>
                  </m:sSubPr>
                  <m:e>
                    <m:r>
                      <m:rPr/>
                      <w:rPr>
                        <w:rFonts w:ascii="Cambria Math" w:hAnsi="Cambria Math"/>
                        <w:szCs w:val="21"/>
                      </w:rPr>
                      <m:t>u</m:t>
                    </m:r>
                    <m:ctrlPr>
                      <w:rPr>
                        <w:rFonts w:ascii="Cambria Math" w:hAnsi="Cambria Math"/>
                        <w:i/>
                        <w:iCs/>
                        <w:szCs w:val="21"/>
                      </w:rPr>
                    </m:ctrlPr>
                  </m:e>
                  <m:sub>
                    <m:r>
                      <m:rPr/>
                      <w:rPr>
                        <w:rFonts w:ascii="Cambria Math" w:hAnsi="Cambria Math"/>
                        <w:szCs w:val="21"/>
                      </w:rPr>
                      <m:t>3</m:t>
                    </m:r>
                    <m:ctrlPr>
                      <w:rPr>
                        <w:rFonts w:ascii="Cambria Math" w:hAnsi="Cambria Math"/>
                        <w:i/>
                        <w:iCs/>
                        <w:szCs w:val="21"/>
                      </w:rPr>
                    </m:ctrlPr>
                  </m:sub>
                </m:sSub>
              </m:oMath>
            </m:oMathPara>
          </w:p>
        </w:tc>
        <w:tc>
          <w:tcPr>
            <w:tcW w:w="2410" w:type="dxa"/>
            <w:vAlign w:val="center"/>
          </w:tcPr>
          <w:p>
            <w:pPr>
              <w:spacing w:line="288" w:lineRule="auto"/>
              <w:jc w:val="center"/>
              <w:rPr>
                <w:szCs w:val="21"/>
              </w:rPr>
            </w:pPr>
            <w:r>
              <w:rPr>
                <w:szCs w:val="21"/>
              </w:rPr>
              <w:t>钢卷尺示值误差</w:t>
            </w:r>
          </w:p>
        </w:tc>
        <w:tc>
          <w:tcPr>
            <w:tcW w:w="1854" w:type="dxa"/>
            <w:vAlign w:val="center"/>
          </w:tcPr>
          <w:p>
            <w:pPr>
              <w:spacing w:line="288" w:lineRule="auto"/>
              <w:jc w:val="center"/>
              <w:rPr>
                <w:szCs w:val="21"/>
              </w:rPr>
            </w:pPr>
            <w:r>
              <w:rPr>
                <w:szCs w:val="21"/>
              </w:rPr>
              <w:t>0.15 mm</w:t>
            </w:r>
          </w:p>
        </w:tc>
      </w:tr>
    </w:tbl>
    <w:p>
      <w:pPr>
        <w:spacing w:before="240" w:beforeLines="100" w:after="240" w:afterLines="100" w:line="288" w:lineRule="auto"/>
        <w:rPr>
          <w:rFonts w:eastAsia="黑体"/>
          <w:sz w:val="24"/>
        </w:rPr>
      </w:pPr>
      <w:r>
        <w:rPr>
          <w:sz w:val="24"/>
        </w:rPr>
        <w:t>D.7 合成标准不确定度</w:t>
      </w:r>
    </w:p>
    <w:p>
      <w:pPr>
        <w:spacing w:before="240" w:beforeLines="100" w:after="240" w:afterLines="100" w:line="288" w:lineRule="auto"/>
        <w:ind w:firstLine="480" w:firstLineChars="200"/>
        <w:rPr>
          <w:i/>
          <w:iCs/>
          <w:position w:val="-12"/>
        </w:rPr>
      </w:pPr>
      <w:r>
        <w:rPr>
          <w:sz w:val="24"/>
        </w:rPr>
        <w:t>测定仪拉伸装置示值误差测量合成标准不确定度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m:sty m:val="p"/>
              </m:rPr>
              <w:rPr>
                <w:rFonts w:ascii="Cambria Math" w:hAnsi="Cambria Math"/>
                <w:sz w:val="24"/>
              </w:rPr>
              <m:t>c</m:t>
            </m:r>
            <m:ctrlPr>
              <w:rPr>
                <w:rFonts w:ascii="Cambria Math" w:hAnsi="Cambria Math"/>
                <w:i/>
                <w:sz w:val="24"/>
              </w:rPr>
            </m:ctrlPr>
          </m:sub>
        </m:sSub>
      </m:oMath>
      <w:r>
        <w:rPr>
          <w:sz w:val="24"/>
        </w:rPr>
        <w:fldChar w:fldCharType="begin"/>
      </w:r>
      <w:r>
        <w:rPr>
          <w:sz w:val="24"/>
        </w:rPr>
        <w:instrText xml:space="preserve"> QUOTE </w:instrText>
      </w:r>
      <w:r>
        <w:rPr>
          <w:position w:val="-8"/>
        </w:rPr>
        <w:drawing>
          <wp:inline distT="0" distB="0" distL="0" distR="0">
            <wp:extent cx="127000" cy="194945"/>
            <wp:effectExtent l="0" t="0" r="6350" b="0"/>
            <wp:docPr id="1728751304" name="图片 172875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751304" name="图片 1728751304"/>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94945"/>
                    </a:xfrm>
                    <a:prstGeom prst="rect">
                      <a:avLst/>
                    </a:prstGeom>
                    <a:noFill/>
                    <a:ln>
                      <a:noFill/>
                    </a:ln>
                  </pic:spPr>
                </pic:pic>
              </a:graphicData>
            </a:graphic>
          </wp:inline>
        </w:drawing>
      </w:r>
      <w:r>
        <w:rPr>
          <w:sz w:val="24"/>
        </w:rPr>
        <w:instrText xml:space="preserve"> </w:instrText>
      </w:r>
      <w:r>
        <w:rPr>
          <w:sz w:val="24"/>
        </w:rPr>
        <w:fldChar w:fldCharType="end"/>
      </w:r>
      <w:r>
        <w:rPr>
          <w:sz w:val="24"/>
        </w:rPr>
        <w:t>计算</w:t>
      </w:r>
    </w:p>
    <w:p>
      <w:pPr>
        <w:spacing w:before="240" w:beforeLines="100" w:after="240" w:afterLines="100" w:line="288" w:lineRule="auto"/>
        <w:ind w:firstLine="720" w:firstLineChars="300"/>
        <w:rPr>
          <w:sz w:val="24"/>
        </w:rPr>
      </w:pPr>
      <w:r>
        <w:rPr>
          <w:sz w:val="24"/>
        </w:rPr>
        <w:t>由于</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m:sty m:val="p"/>
              </m:rPr>
              <w:rPr>
                <w:rFonts w:ascii="Cambria Math" w:hAnsi="Cambria Math"/>
                <w:sz w:val="24"/>
              </w:rPr>
              <m:t>1</m:t>
            </m:r>
            <m:ctrlPr>
              <w:rPr>
                <w:rFonts w:ascii="Cambria Math" w:hAnsi="Cambria Math"/>
                <w:i/>
                <w:iCs/>
                <w:sz w:val="24"/>
              </w:rPr>
            </m:ctrlPr>
          </m:sub>
        </m:sSub>
      </m:oMath>
      <w:r>
        <w:rPr>
          <w:sz w:val="24"/>
        </w:rPr>
        <w:fldChar w:fldCharType="begin"/>
      </w:r>
      <w:r>
        <w:rPr>
          <w:sz w:val="24"/>
        </w:rPr>
        <w:instrText xml:space="preserve"> QUOTE </w:instrText>
      </w:r>
      <w:r>
        <w:rPr>
          <w:position w:val="-8"/>
        </w:rPr>
        <w:drawing>
          <wp:inline distT="0" distB="0" distL="0" distR="0">
            <wp:extent cx="135255" cy="194945"/>
            <wp:effectExtent l="0" t="0" r="0" b="0"/>
            <wp:docPr id="702773202" name="图片 70277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773202" name="图片 702773202"/>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sz w:val="24"/>
        </w:rPr>
        <w:instrText xml:space="preserve"> </w:instrText>
      </w:r>
      <w:r>
        <w:rPr>
          <w:sz w:val="24"/>
        </w:rPr>
        <w:fldChar w:fldCharType="end"/>
      </w:r>
      <w:r>
        <w:rPr>
          <w:iCs/>
        </w:rPr>
        <w:fldChar w:fldCharType="begin"/>
      </w:r>
      <w:r>
        <w:rPr>
          <w:iCs/>
        </w:rPr>
        <w:instrText xml:space="preserve"> QUOTE </w:instrText>
      </w:r>
      <w:r>
        <w:rPr>
          <w:position w:val="-8"/>
        </w:rPr>
        <w:drawing>
          <wp:inline distT="0" distB="0" distL="0" distR="0">
            <wp:extent cx="135255" cy="194945"/>
            <wp:effectExtent l="0" t="0" r="0" b="0"/>
            <wp:docPr id="872514126" name="图片 872514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514126" name="图片 872514126"/>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iCs/>
        </w:rPr>
        <w:instrText xml:space="preserve"> </w:instrText>
      </w:r>
      <w:r>
        <w:rPr>
          <w:iCs/>
        </w:rPr>
        <w:fldChar w:fldCharType="end"/>
      </w:r>
      <w:r>
        <w:rPr>
          <w:iCs/>
        </w:rPr>
        <w:t>、</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m:sty m:val="p"/>
              </m:rPr>
              <w:rPr>
                <w:rFonts w:ascii="Cambria Math" w:hAnsi="Cambria Math"/>
                <w:sz w:val="24"/>
              </w:rPr>
              <m:t>3</m:t>
            </m:r>
            <m:ctrlPr>
              <w:rPr>
                <w:rFonts w:ascii="Cambria Math" w:hAnsi="Cambria Math"/>
                <w:i/>
                <w:iCs/>
                <w:sz w:val="24"/>
              </w:rPr>
            </m:ctrlPr>
          </m:sub>
        </m:sSub>
      </m:oMath>
      <w:r>
        <w:rPr>
          <w:sz w:val="24"/>
        </w:rPr>
        <w:fldChar w:fldCharType="begin"/>
      </w:r>
      <w:r>
        <w:rPr>
          <w:sz w:val="24"/>
        </w:rPr>
        <w:instrText xml:space="preserve"> QUOTE </w:instrText>
      </w:r>
      <w:r>
        <w:rPr>
          <w:position w:val="-8"/>
        </w:rPr>
        <w:drawing>
          <wp:inline distT="0" distB="0" distL="0" distR="0">
            <wp:extent cx="135255" cy="194945"/>
            <wp:effectExtent l="0" t="0" r="0" b="0"/>
            <wp:docPr id="999011508" name="图片 99901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011508" name="图片 999011508"/>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sz w:val="24"/>
        </w:rPr>
        <w:instrText xml:space="preserve"> </w:instrText>
      </w:r>
      <w:r>
        <w:rPr>
          <w:sz w:val="24"/>
        </w:rPr>
        <w:fldChar w:fldCharType="end"/>
      </w:r>
      <w:r>
        <w:rPr>
          <w:sz w:val="24"/>
        </w:rPr>
        <w:t>相互独立，则合成标准不确定度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oMath>
      <w:r>
        <w:rPr>
          <w:sz w:val="24"/>
        </w:rPr>
        <w:fldChar w:fldCharType="begin"/>
      </w:r>
      <w:r>
        <w:rPr>
          <w:sz w:val="24"/>
        </w:rPr>
        <w:instrText xml:space="preserve"> QUOTE </w:instrText>
      </w:r>
      <w:r>
        <w:rPr>
          <w:position w:val="-8"/>
        </w:rPr>
        <w:drawing>
          <wp:inline distT="0" distB="0" distL="0" distR="0">
            <wp:extent cx="127000" cy="194945"/>
            <wp:effectExtent l="0" t="0" r="6350" b="0"/>
            <wp:docPr id="1597868345" name="图片 1597868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868345" name="图片 1597868345"/>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94945"/>
                    </a:xfrm>
                    <a:prstGeom prst="rect">
                      <a:avLst/>
                    </a:prstGeom>
                    <a:noFill/>
                    <a:ln>
                      <a:noFill/>
                    </a:ln>
                  </pic:spPr>
                </pic:pic>
              </a:graphicData>
            </a:graphic>
          </wp:inline>
        </w:drawing>
      </w:r>
      <w:r>
        <w:rPr>
          <w:sz w:val="24"/>
        </w:rPr>
        <w:instrText xml:space="preserve"> </w:instrText>
      </w:r>
      <w:r>
        <w:rPr>
          <w:sz w:val="24"/>
        </w:rPr>
        <w:fldChar w:fldCharType="end"/>
      </w:r>
      <w:r>
        <w:rPr>
          <w:sz w:val="24"/>
        </w:rPr>
        <w:t>按下式计算</w:t>
      </w:r>
    </w:p>
    <w:p>
      <w:pPr>
        <w:spacing w:before="240" w:beforeLines="100" w:after="240" w:afterLines="100" w:line="288" w:lineRule="auto"/>
        <w:ind w:firstLine="720" w:firstLineChars="300"/>
        <w:jc w:val="right"/>
        <w:rPr>
          <w:sz w:val="24"/>
        </w:rPr>
      </w:pP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r>
          <m:rPr/>
          <w:rPr>
            <w:rFonts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m:sty m:val="p"/>
                  </m:rPr>
                  <w:rPr>
                    <w:rFonts w:ascii="Cambria Math" w:hAnsi="Cambria Math"/>
                    <w:sz w:val="24"/>
                  </w:rPr>
                  <m:t>1</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3</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ctrlPr>
              <w:rPr>
                <w:rFonts w:ascii="Cambria Math" w:hAnsi="Cambria Math"/>
                <w:i/>
                <w:sz w:val="24"/>
              </w:rPr>
            </m:ctrlPr>
          </m:e>
        </m:rad>
        <m:r>
          <m:rPr/>
          <w:rPr>
            <w:rFonts w:ascii="Cambria Math" w:hAnsi="Cambria Math"/>
            <w:sz w:val="24"/>
          </w:rPr>
          <m:t>=0.17 mm</m:t>
        </m:r>
      </m:oMath>
      <w:r>
        <w:rPr>
          <w:sz w:val="24"/>
        </w:rPr>
        <w:t xml:space="preserve">            （D.3）</w:t>
      </w:r>
    </w:p>
    <w:p>
      <w:pPr>
        <w:spacing w:before="240" w:beforeLines="100" w:after="240" w:afterLines="100" w:line="360" w:lineRule="auto"/>
        <w:rPr>
          <w:rFonts w:eastAsia="黑体"/>
          <w:sz w:val="24"/>
        </w:rPr>
      </w:pPr>
      <w:r>
        <w:rPr>
          <w:sz w:val="24"/>
        </w:rPr>
        <w:t>D.8</w:t>
      </w:r>
      <w:r>
        <w:rPr>
          <w:rFonts w:eastAsia="黑体"/>
          <w:sz w:val="24"/>
        </w:rPr>
        <w:t xml:space="preserve"> 扩展不确定度</w:t>
      </w:r>
    </w:p>
    <w:p>
      <w:pPr>
        <w:spacing w:line="360" w:lineRule="auto"/>
        <w:textAlignment w:val="baseline"/>
        <w:rPr>
          <w:rFonts w:eastAsia="黑体"/>
          <w:sz w:val="24"/>
        </w:rPr>
      </w:pPr>
      <w:r>
        <w:rPr>
          <w:sz w:val="24"/>
        </w:rPr>
        <w:t xml:space="preserve">     取包含因子</w:t>
      </w:r>
      <w:r>
        <w:rPr>
          <w:i/>
          <w:iCs/>
          <w:sz w:val="24"/>
        </w:rPr>
        <w:t>k</w:t>
      </w:r>
      <w:r>
        <w:rPr>
          <w:sz w:val="24"/>
        </w:rPr>
        <w:t>=2，测定仪拉伸装置示值误差测量不确定度为：</w:t>
      </w:r>
      <m:oMath>
        <m:r>
          <m:rPr/>
          <w:rPr>
            <w:rFonts w:ascii="Cambria Math" w:hAnsi="Cambria Math"/>
            <w:sz w:val="24"/>
          </w:rPr>
          <m:t>U=k×</m:t>
        </m:r>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r>
          <m:rPr/>
          <w:rPr>
            <w:rFonts w:ascii="Cambria Math" w:hAnsi="Cambria Math"/>
            <w:sz w:val="24"/>
          </w:rPr>
          <m:t>=0.34 mm</m:t>
        </m:r>
      </m:oMath>
      <w:r>
        <w:rPr>
          <w:sz w:val="24"/>
        </w:rPr>
        <w:t>。</w:t>
      </w:r>
    </w:p>
    <w:p>
      <w:pPr>
        <w:rPr>
          <w:sz w:val="24"/>
        </w:rPr>
      </w:pPr>
    </w:p>
    <w:p>
      <w:pPr>
        <w:widowControl/>
        <w:jc w:val="left"/>
        <w:rPr>
          <w:sz w:val="24"/>
        </w:rPr>
      </w:pPr>
      <w:r>
        <w:rPr>
          <w:sz w:val="24"/>
        </w:rPr>
        <w:br w:type="page"/>
      </w:r>
    </w:p>
    <w:p>
      <w:pPr>
        <w:pStyle w:val="3"/>
        <w:pageBreakBefore/>
        <w:spacing w:line="360" w:lineRule="auto"/>
        <w:rPr>
          <w:rFonts w:ascii="Times New Roman" w:hAnsi="Times New Roman"/>
          <w:b w:val="0"/>
          <w:sz w:val="28"/>
          <w:szCs w:val="28"/>
        </w:rPr>
      </w:pPr>
      <w:bookmarkStart w:id="34" w:name="_Toc180395279"/>
      <w:r>
        <w:rPr>
          <w:rFonts w:ascii="Times New Roman" w:hAnsi="Times New Roman"/>
          <w:b w:val="0"/>
          <w:sz w:val="28"/>
          <w:szCs w:val="28"/>
        </w:rPr>
        <w:t>附录 E</w:t>
      </w:r>
      <w:bookmarkEnd w:id="34"/>
    </w:p>
    <w:p>
      <w:pPr>
        <w:spacing w:line="360" w:lineRule="auto"/>
        <w:jc w:val="center"/>
        <w:rPr>
          <w:rFonts w:eastAsia="黑体"/>
          <w:sz w:val="28"/>
          <w:szCs w:val="28"/>
        </w:rPr>
      </w:pPr>
      <w:r>
        <w:rPr>
          <w:rFonts w:eastAsia="黑体"/>
          <w:sz w:val="28"/>
          <w:szCs w:val="28"/>
        </w:rPr>
        <w:t>测力延度试验仪拉力测量结果不确定度评定</w:t>
      </w:r>
    </w:p>
    <w:p>
      <w:pPr>
        <w:widowControl/>
        <w:spacing w:line="360" w:lineRule="auto"/>
        <w:textAlignment w:val="baseline"/>
        <w:rPr>
          <w:sz w:val="24"/>
        </w:rPr>
      </w:pPr>
      <w:r>
        <w:rPr>
          <w:sz w:val="24"/>
        </w:rPr>
        <w:t>E.1 被测对象</w:t>
      </w:r>
    </w:p>
    <w:p>
      <w:pPr>
        <w:widowControl/>
        <w:spacing w:line="360" w:lineRule="auto"/>
        <w:ind w:firstLine="480" w:firstLineChars="200"/>
        <w:textAlignment w:val="baseline"/>
        <w:rPr>
          <w:sz w:val="24"/>
        </w:rPr>
      </w:pPr>
      <w:r>
        <w:rPr>
          <w:sz w:val="24"/>
        </w:rPr>
        <w:t>选一台常见的测力延度试验仪作为被测对象，拉伸装置分辨率为0.1 N，拉力范围：</w:t>
      </w:r>
      <w:r>
        <w:rPr>
          <w:bCs/>
          <w:sz w:val="24"/>
        </w:rPr>
        <w:t>（0～300）N。</w:t>
      </w:r>
    </w:p>
    <w:p>
      <w:pPr>
        <w:widowControl/>
        <w:spacing w:line="360" w:lineRule="auto"/>
        <w:textAlignment w:val="baseline"/>
        <w:rPr>
          <w:rFonts w:eastAsia="黑体"/>
          <w:sz w:val="24"/>
        </w:rPr>
      </w:pPr>
      <w:r>
        <w:rPr>
          <w:sz w:val="24"/>
        </w:rPr>
        <w:t>E.2 测量标准</w:t>
      </w:r>
    </w:p>
    <w:p>
      <w:pPr>
        <w:widowControl/>
        <w:spacing w:line="360" w:lineRule="auto"/>
        <w:ind w:firstLine="480" w:firstLineChars="200"/>
        <w:jc w:val="left"/>
        <w:textAlignment w:val="baseline"/>
        <w:rPr>
          <w:sz w:val="24"/>
        </w:rPr>
      </w:pPr>
      <w:r>
        <w:rPr>
          <w:sz w:val="24"/>
        </w:rPr>
        <w:t>标准测力仪：</w:t>
      </w:r>
    </w:p>
    <w:p>
      <w:pPr>
        <w:widowControl/>
        <w:spacing w:line="360" w:lineRule="auto"/>
        <w:ind w:firstLine="480" w:firstLineChars="200"/>
        <w:jc w:val="left"/>
        <w:textAlignment w:val="baseline"/>
        <w:rPr>
          <w:sz w:val="24"/>
        </w:rPr>
      </w:pPr>
      <w:r>
        <w:rPr>
          <w:sz w:val="24"/>
        </w:rPr>
        <w:t>拉力显示分辨力：0.01 N，0.3级。</w:t>
      </w:r>
    </w:p>
    <w:p>
      <w:pPr>
        <w:spacing w:line="360" w:lineRule="auto"/>
        <w:rPr>
          <w:rFonts w:eastAsia="黑体"/>
          <w:sz w:val="24"/>
        </w:rPr>
      </w:pPr>
      <w:r>
        <w:rPr>
          <w:sz w:val="24"/>
        </w:rPr>
        <w:t>E.3 校准方法</w:t>
      </w:r>
    </w:p>
    <w:p>
      <w:pPr>
        <w:widowControl/>
        <w:spacing w:line="360" w:lineRule="auto"/>
        <w:ind w:firstLine="480" w:firstLineChars="200"/>
        <w:textAlignment w:val="baseline"/>
        <w:rPr>
          <w:sz w:val="24"/>
        </w:rPr>
      </w:pPr>
      <w:r>
        <w:rPr>
          <w:sz w:val="24"/>
        </w:rPr>
        <w:t>用弹簧将拉力传感器和拉伸装置固定端通过专用固定设备连接，拉力传感器和拉伸装置移动端直接连接，启动拉伸装置使标准测力仪示值达到校准点附近时停止拉伸，分别记录标准测力仪及测力延度试验仪拉力示值。</w:t>
      </w:r>
    </w:p>
    <w:p>
      <w:pPr>
        <w:widowControl/>
        <w:spacing w:line="360" w:lineRule="auto"/>
        <w:textAlignment w:val="baseline"/>
        <w:rPr>
          <w:rFonts w:eastAsia="黑体"/>
          <w:sz w:val="24"/>
        </w:rPr>
      </w:pPr>
      <w:r>
        <w:rPr>
          <w:sz w:val="24"/>
        </w:rPr>
        <w:t xml:space="preserve">E.4 数学模型 </w:t>
      </w:r>
    </w:p>
    <w:p>
      <w:pPr>
        <w:widowControl/>
        <w:spacing w:line="360" w:lineRule="auto"/>
        <w:textAlignment w:val="baseline"/>
        <w:rPr>
          <w:sz w:val="24"/>
        </w:rPr>
      </w:pPr>
      <w:r>
        <w:rPr>
          <w:sz w:val="24"/>
        </w:rPr>
        <w:t>E.4.1 拉伸装置示值误差公式</w:t>
      </w:r>
    </w:p>
    <w:p>
      <w:pPr>
        <w:widowControl/>
        <w:spacing w:line="360" w:lineRule="auto"/>
        <w:ind w:firstLine="2880" w:firstLineChars="1200"/>
        <w:textAlignment w:val="baseline"/>
        <w:rPr>
          <w:sz w:val="24"/>
        </w:rPr>
      </w:pPr>
      <m:oMath>
        <m:r>
          <m:rPr/>
          <w:rPr>
            <w:rFonts w:ascii="Cambria Math" w:hAnsi="Cambria Math"/>
            <w:sz w:val="24"/>
          </w:rPr>
          <m:t>ΔF=F−</m:t>
        </m:r>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m:sty m:val="p"/>
              </m:rPr>
              <w:rPr>
                <w:rFonts w:ascii="Cambria Math" w:hAnsi="Cambria Math"/>
                <w:sz w:val="24"/>
              </w:rPr>
              <m:t>s</m:t>
            </m:r>
            <m:ctrlPr>
              <w:rPr>
                <w:rFonts w:ascii="Cambria Math" w:hAnsi="Cambria Math"/>
                <w:i/>
                <w:sz w:val="24"/>
              </w:rPr>
            </m:ctrlPr>
          </m:sub>
        </m:sSub>
      </m:oMath>
      <w:r>
        <w:rPr>
          <w:sz w:val="24"/>
        </w:rPr>
        <w:t xml:space="preserve">                                （E.1）</w:t>
      </w:r>
    </w:p>
    <w:p>
      <w:pPr>
        <w:tabs>
          <w:tab w:val="left" w:pos="1620"/>
          <w:tab w:val="left" w:pos="8460"/>
        </w:tabs>
        <w:spacing w:line="300" w:lineRule="auto"/>
        <w:ind w:firstLine="480" w:firstLineChars="200"/>
        <w:rPr>
          <w:sz w:val="24"/>
        </w:rPr>
      </w:pPr>
      <w:r>
        <w:rPr>
          <w:sz w:val="24"/>
        </w:rPr>
        <w:t>式中：</w:t>
      </w:r>
    </w:p>
    <w:p>
      <w:pPr>
        <w:tabs>
          <w:tab w:val="left" w:pos="1620"/>
          <w:tab w:val="left" w:pos="8460"/>
        </w:tabs>
        <w:spacing w:line="300" w:lineRule="auto"/>
        <w:ind w:firstLine="480" w:firstLineChars="200"/>
        <w:rPr>
          <w:sz w:val="24"/>
        </w:rPr>
      </w:pPr>
      <m:oMath>
        <m:r>
          <m:rPr/>
          <w:rPr>
            <w:rFonts w:ascii="Cambria Math" w:hAnsi="Cambria Math"/>
            <w:sz w:val="24"/>
          </w:rPr>
          <m:t>∆F</m:t>
        </m:r>
      </m:oMath>
      <w:r>
        <w:rPr>
          <w:sz w:val="24"/>
        </w:rPr>
        <w:t>——沥青延度试验仪拉伸力示值误差，N；</w:t>
      </w:r>
    </w:p>
    <w:p>
      <w:pPr>
        <w:tabs>
          <w:tab w:val="left" w:pos="1620"/>
          <w:tab w:val="left" w:pos="8460"/>
        </w:tabs>
        <w:spacing w:line="300" w:lineRule="auto"/>
        <w:ind w:firstLine="480" w:firstLineChars="200"/>
        <w:rPr>
          <w:sz w:val="24"/>
        </w:rPr>
      </w:pPr>
      <w:r>
        <w:rPr>
          <w:i/>
          <w:position w:val="-4"/>
          <w:sz w:val="24"/>
        </w:rPr>
        <w:object>
          <v:shape id="_x0000_i1026" o:spt="75" type="#_x0000_t75" style="height:13.1pt;width:13.1pt;" o:ole="t" filled="f" o:preferrelative="t" stroked="f" coordsize="21600,21600">
            <v:path/>
            <v:fill on="f" focussize="0,0"/>
            <v:stroke on="f" joinstyle="miter"/>
            <v:imagedata r:id="rId18" o:title=""/>
            <o:lock v:ext="edit" aspectratio="t"/>
            <w10:wrap type="none"/>
            <w10:anchorlock/>
          </v:shape>
          <o:OLEObject Type="Embed" ProgID="Equation.DSMT4" ShapeID="_x0000_i1026" DrawAspect="Content" ObjectID="_1468075726" r:id="rId26">
            <o:LockedField>false</o:LockedField>
          </o:OLEObject>
        </w:object>
      </w:r>
      <w:r>
        <w:rPr>
          <w:sz w:val="24"/>
        </w:rPr>
        <w:t>——沥青延度试验仪显示力值，N；</w:t>
      </w:r>
    </w:p>
    <w:p>
      <w:pPr>
        <w:tabs>
          <w:tab w:val="left" w:pos="1620"/>
          <w:tab w:val="left" w:pos="8460"/>
        </w:tabs>
        <w:spacing w:line="300" w:lineRule="auto"/>
        <w:ind w:firstLine="480" w:firstLineChars="200"/>
        <w:rPr>
          <w:i/>
          <w:sz w:val="24"/>
        </w:rPr>
      </w:pPr>
      <m:oMath>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m:sty m:val="p"/>
              </m:rPr>
              <w:rPr>
                <w:rFonts w:ascii="Cambria Math" w:hAnsi="Cambria Math"/>
                <w:sz w:val="24"/>
              </w:rPr>
              <m:t>s</m:t>
            </m:r>
            <m:ctrlPr>
              <w:rPr>
                <w:rFonts w:ascii="Cambria Math" w:hAnsi="Cambria Math"/>
                <w:i/>
                <w:sz w:val="24"/>
              </w:rPr>
            </m:ctrlPr>
          </m:sub>
        </m:sSub>
      </m:oMath>
      <w:r>
        <w:rPr>
          <w:sz w:val="24"/>
        </w:rPr>
        <w:t>——标准测力仪测得力值，N。</w:t>
      </w:r>
    </w:p>
    <w:p>
      <w:pPr>
        <w:spacing w:before="240" w:beforeLines="100" w:after="240" w:afterLines="100" w:line="360" w:lineRule="auto"/>
        <w:ind w:firstLine="480"/>
        <w:rPr>
          <w:sz w:val="24"/>
        </w:rPr>
      </w:pPr>
      <w:r>
        <w:rPr>
          <w:sz w:val="24"/>
        </w:rPr>
        <w:t>不确定度来源：测力延度试验仪显示力值测量重复性引入的标准不确定度；测力延度试验仪分辨力引入的标准不确定度；标准测力仪示值误差引入的标准不确定度。</w:t>
      </w:r>
    </w:p>
    <w:p>
      <w:pPr>
        <w:spacing w:line="360" w:lineRule="auto"/>
        <w:rPr>
          <w:rFonts w:eastAsia="黑体"/>
          <w:sz w:val="24"/>
        </w:rPr>
      </w:pPr>
      <w:r>
        <w:rPr>
          <w:sz w:val="24"/>
        </w:rPr>
        <w:t>E.5 标准不确定度分量</w:t>
      </w:r>
    </w:p>
    <w:p>
      <w:pPr>
        <w:spacing w:line="360" w:lineRule="auto"/>
        <w:rPr>
          <w:i/>
          <w:iCs/>
        </w:rPr>
      </w:pPr>
      <w:r>
        <w:rPr>
          <w:sz w:val="24"/>
        </w:rPr>
        <w:t>E.5.1 测量重复性引入的标准不确定度</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m:sty m:val="p"/>
              </m:rPr>
              <w:rPr>
                <w:rFonts w:ascii="Cambria Math" w:hAnsi="Cambria Math"/>
                <w:sz w:val="24"/>
              </w:rPr>
              <m:t>1</m:t>
            </m:r>
            <m:ctrlPr>
              <w:rPr>
                <w:rFonts w:ascii="Cambria Math" w:hAnsi="Cambria Math"/>
                <w:i/>
                <w:iCs/>
                <w:sz w:val="24"/>
              </w:rPr>
            </m:ctrlPr>
          </m:sub>
        </m:sSub>
      </m:oMath>
    </w:p>
    <w:p>
      <w:pPr>
        <w:spacing w:line="360" w:lineRule="auto"/>
        <w:ind w:firstLine="480" w:firstLineChars="200"/>
        <w:rPr>
          <w:sz w:val="24"/>
        </w:rPr>
      </w:pPr>
      <w:r>
        <w:rPr>
          <w:sz w:val="24"/>
        </w:rPr>
        <w:t>启动拉伸装置使标准测力仪示值达到100 N时停止拉伸，读取测力延度试验仪拉力示值。重复上述过程，在重复性条件下连续测量10次，得到一测量列为100.2 N、100.1 N、100.1 N、100.1 N、100.2 N、100.1 N、100.1 N、100.1 N、100.1 N、100.2 N，根据贝赛尔公式计算实验标准偏差：</w:t>
      </w:r>
    </w:p>
    <w:p>
      <w:pPr>
        <w:spacing w:line="360" w:lineRule="auto"/>
        <w:jc w:val="right"/>
        <w:rPr>
          <w:sz w:val="24"/>
        </w:rPr>
      </w:pPr>
      <m:oMath>
        <m:r>
          <m:rPr/>
          <w:rPr>
            <w:rFonts w:ascii="Cambria Math" w:hAnsi="Cambria Math"/>
            <w:sz w:val="24"/>
          </w:rPr>
          <m:t>s=</m:t>
        </m:r>
        <m:rad>
          <m:radPr>
            <m:degHide m:val="1"/>
            <m:ctrlPr>
              <w:rPr>
                <w:rFonts w:ascii="Cambria Math" w:hAnsi="Cambria Math"/>
                <w:i/>
                <w:sz w:val="24"/>
              </w:rPr>
            </m:ctrlPr>
          </m:radPr>
          <m:deg>
            <m:ctrlPr>
              <w:rPr>
                <w:rFonts w:ascii="Cambria Math" w:hAnsi="Cambria Math"/>
                <w:i/>
                <w:sz w:val="24"/>
              </w:rPr>
            </m:ctrlPr>
          </m:deg>
          <m:e>
            <m:f>
              <m:fPr>
                <m:ctrlPr>
                  <w:rPr>
                    <w:rFonts w:ascii="Cambria Math" w:hAnsi="Cambria Math"/>
                    <w:i/>
                    <w:sz w:val="24"/>
                  </w:rPr>
                </m:ctrlPr>
              </m:fPr>
              <m:num>
                <m:nary>
                  <m:naryPr>
                    <m:chr m:val="∑"/>
                    <m:limLoc m:val="undOvr"/>
                    <m:ctrlPr>
                      <w:rPr>
                        <w:rFonts w:ascii="Cambria Math" w:hAnsi="Cambria Math"/>
                        <w:i/>
                        <w:sz w:val="24"/>
                      </w:rPr>
                    </m:ctrlPr>
                  </m:naryPr>
                  <m:sub>
                    <m:r>
                      <m:rPr/>
                      <w:rPr>
                        <w:rFonts w:ascii="Cambria Math" w:hAnsi="Cambria Math"/>
                        <w:sz w:val="24"/>
                      </w:rPr>
                      <m:t>i=1</m:t>
                    </m:r>
                    <m:ctrlPr>
                      <w:rPr>
                        <w:rFonts w:ascii="Cambria Math" w:hAnsi="Cambria Math"/>
                        <w:i/>
                        <w:sz w:val="24"/>
                      </w:rPr>
                    </m:ctrlPr>
                  </m:sub>
                  <m:sup>
                    <m:r>
                      <m:rPr/>
                      <w:rPr>
                        <w:rFonts w:ascii="Cambria Math" w:hAnsi="Cambria Math"/>
                        <w:sz w:val="24"/>
                      </w:rPr>
                      <m:t>n</m:t>
                    </m:r>
                    <m:ctrlPr>
                      <w:rPr>
                        <w:rFonts w:ascii="Cambria Math" w:hAnsi="Cambria Math"/>
                        <w:i/>
                        <w:sz w:val="24"/>
                      </w:rPr>
                    </m:ctrlPr>
                  </m:sup>
                  <m:e>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x</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acc>
                          <m:accPr>
                            <m:chr m:val="̅"/>
                            <m:ctrlPr>
                              <w:rPr>
                                <w:rFonts w:ascii="Cambria Math" w:hAnsi="Cambria Math"/>
                                <w:i/>
                                <w:sz w:val="24"/>
                              </w:rPr>
                            </m:ctrlPr>
                          </m:accPr>
                          <m:e>
                            <m:r>
                              <m:rPr/>
                              <w:rPr>
                                <w:rFonts w:ascii="Cambria Math" w:hAnsi="Cambria Math"/>
                                <w:sz w:val="24"/>
                              </w:rPr>
                              <m:t>x</m:t>
                            </m:r>
                            <m:ctrlPr>
                              <w:rPr>
                                <w:rFonts w:ascii="Cambria Math" w:hAnsi="Cambria Math"/>
                                <w:i/>
                                <w:sz w:val="24"/>
                              </w:rPr>
                            </m:ctrlPr>
                          </m:e>
                        </m:acc>
                        <m:ctrlPr>
                          <w:rPr>
                            <w:rFonts w:ascii="Cambria Math" w:hAnsi="Cambria Math"/>
                            <w:i/>
                            <w:sz w:val="24"/>
                          </w:rPr>
                        </m:ctrlPr>
                      </m:e>
                    </m:d>
                    <m:ctrlPr>
                      <w:rPr>
                        <w:rFonts w:ascii="Cambria Math" w:hAnsi="Cambria Math"/>
                        <w:i/>
                        <w:sz w:val="24"/>
                      </w:rPr>
                    </m:ctrlPr>
                  </m:e>
                </m:nary>
                <m:ctrlPr>
                  <w:rPr>
                    <w:rFonts w:ascii="Cambria Math" w:hAnsi="Cambria Math"/>
                    <w:i/>
                    <w:sz w:val="24"/>
                  </w:rPr>
                </m:ctrlPr>
              </m:num>
              <m:den>
                <m:r>
                  <m:rPr/>
                  <w:rPr>
                    <w:rFonts w:ascii="Cambria Math" w:hAnsi="Cambria Math"/>
                    <w:sz w:val="24"/>
                  </w:rPr>
                  <m:t>n−1</m:t>
                </m:r>
                <m:ctrlPr>
                  <w:rPr>
                    <w:rFonts w:ascii="Cambria Math" w:hAnsi="Cambria Math"/>
                    <w:i/>
                    <w:sz w:val="24"/>
                  </w:rPr>
                </m:ctrlPr>
              </m:den>
            </m:f>
            <m:ctrlPr>
              <w:rPr>
                <w:rFonts w:ascii="Cambria Math" w:hAnsi="Cambria Math"/>
                <w:i/>
                <w:sz w:val="24"/>
              </w:rPr>
            </m:ctrlPr>
          </m:e>
        </m:rad>
        <m:r>
          <m:rPr/>
          <w:rPr>
            <w:rFonts w:ascii="Cambria Math" w:hAnsi="Cambria Math"/>
            <w:sz w:val="24"/>
          </w:rPr>
          <m:t xml:space="preserve">=0.05 </m:t>
        </m:r>
        <m:r>
          <m:rPr>
            <m:sty m:val="p"/>
          </m:rPr>
          <w:rPr>
            <w:rFonts w:ascii="Cambria Math" w:hAnsi="Cambria Math"/>
            <w:sz w:val="24"/>
          </w:rPr>
          <m:t>N</m:t>
        </m:r>
      </m:oMath>
      <w:r>
        <w:rPr>
          <w:sz w:val="24"/>
        </w:rPr>
        <w:t xml:space="preserve">                     （E.2）</w:t>
      </w:r>
    </w:p>
    <w:p>
      <w:pPr>
        <w:spacing w:line="360" w:lineRule="auto"/>
        <w:jc w:val="center"/>
        <w:rPr>
          <w:sz w:val="24"/>
        </w:rPr>
      </w:pPr>
      <w:r>
        <w:rPr>
          <w:sz w:val="24"/>
        </w:rPr>
        <w:t>则</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ascii="Cambria Math" w:hAnsi="Cambria Math"/>
                <w:sz w:val="24"/>
              </w:rPr>
              <m:t>1</m:t>
            </m:r>
            <m:ctrlPr>
              <w:rPr>
                <w:rFonts w:ascii="Cambria Math" w:hAnsi="Cambria Math"/>
                <w:i/>
                <w:iCs/>
                <w:sz w:val="24"/>
              </w:rPr>
            </m:ctrlPr>
          </m:sub>
        </m:sSub>
        <m:r>
          <m:rPr/>
          <w:rPr>
            <w:rFonts w:ascii="Cambria Math" w:hAnsi="Cambria Math"/>
            <w:sz w:val="24"/>
          </w:rPr>
          <m:t xml:space="preserve">=s=0.05 </m:t>
        </m:r>
        <m:r>
          <m:rPr>
            <m:sty m:val="p"/>
          </m:rPr>
          <w:rPr>
            <w:rFonts w:ascii="Cambria Math" w:hAnsi="Cambria Math"/>
            <w:sz w:val="24"/>
          </w:rPr>
          <m:t>N</m:t>
        </m:r>
      </m:oMath>
    </w:p>
    <w:p>
      <w:pPr>
        <w:spacing w:line="312" w:lineRule="auto"/>
        <w:rPr>
          <w:sz w:val="24"/>
        </w:rPr>
      </w:pPr>
      <w:r>
        <w:rPr>
          <w:sz w:val="24"/>
        </w:rPr>
        <w:t>E.5.2 测力延度试验仪拉力示值分辨力引入的标准不确定度</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ascii="Cambria Math" w:hAnsi="Cambria Math"/>
                <w:sz w:val="24"/>
              </w:rPr>
              <m:t>2</m:t>
            </m:r>
            <m:ctrlPr>
              <w:rPr>
                <w:rFonts w:ascii="Cambria Math" w:hAnsi="Cambria Math"/>
                <w:i/>
                <w:iCs/>
                <w:sz w:val="24"/>
              </w:rPr>
            </m:ctrlPr>
          </m:sub>
        </m:sSub>
      </m:oMath>
    </w:p>
    <w:p>
      <w:pPr>
        <w:spacing w:line="312" w:lineRule="auto"/>
        <w:ind w:firstLine="480" w:firstLineChars="200"/>
        <w:rPr>
          <w:sz w:val="24"/>
        </w:rPr>
      </w:pPr>
      <w:r>
        <w:rPr>
          <w:sz w:val="24"/>
        </w:rPr>
        <w:t xml:space="preserve"> 测力延度试验仪拉力示值分辨力为0.1 N，不确定度区间半宽0.05 N，服从均匀分布，</w:t>
      </w:r>
    </w:p>
    <w:p>
      <w:pPr>
        <w:spacing w:line="360" w:lineRule="auto"/>
        <w:rPr>
          <w:sz w:val="24"/>
        </w:rPr>
      </w:pPr>
      <w:r>
        <w:rPr>
          <w:sz w:val="24"/>
        </w:rPr>
        <w:t>则分辨力引入的标准不确定度：</w:t>
      </w:r>
    </w:p>
    <w:p>
      <w:pPr>
        <w:spacing w:line="360" w:lineRule="auto"/>
        <w:rPr>
          <w:sz w:val="24"/>
        </w:rPr>
      </w:pPr>
      <m:oMathPara>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ascii="Cambria Math" w:hAnsi="Cambria Math"/>
                  <w:sz w:val="24"/>
                </w:rPr>
                <m:t>2</m:t>
              </m:r>
              <m:ctrlPr>
                <w:rPr>
                  <w:rFonts w:ascii="Cambria Math" w:hAnsi="Cambria Math"/>
                  <w:i/>
                  <w:iCs/>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a</m:t>
              </m:r>
              <m:ctrlPr>
                <w:rPr>
                  <w:rFonts w:ascii="Cambria Math" w:hAnsi="Cambria Math"/>
                  <w:i/>
                  <w:sz w:val="24"/>
                </w:rPr>
              </m:ctrlPr>
            </m:num>
            <m:den>
              <m:r>
                <m:rPr/>
                <w:rPr>
                  <w:rFonts w:ascii="Cambria Math" w:hAnsi="Cambria Math"/>
                  <w:sz w:val="24"/>
                </w:rPr>
                <m:t>k</m:t>
              </m:r>
              <m:ctrlPr>
                <w:rPr>
                  <w:rFonts w:ascii="Cambria Math" w:hAnsi="Cambria Math"/>
                  <w:i/>
                  <w:sz w:val="24"/>
                </w:rPr>
              </m:ctrlPr>
            </m:den>
          </m:f>
          <m:r>
            <m:rPr/>
            <w:rPr>
              <w:rFonts w:ascii="Cambria Math" w:hAnsi="Cambria Math"/>
              <w:sz w:val="24"/>
            </w:rPr>
            <m:t>=</m:t>
          </m:r>
          <m:f>
            <m:fPr>
              <m:ctrlPr>
                <w:rPr>
                  <w:rFonts w:ascii="Cambria Math" w:hAnsi="Cambria Math"/>
                  <w:i/>
                  <w:sz w:val="24"/>
                </w:rPr>
              </m:ctrlPr>
            </m:fPr>
            <m:num>
              <m:r>
                <m:rPr/>
                <w:rPr>
                  <w:rFonts w:ascii="Cambria Math" w:hAnsi="Cambria Math"/>
                  <w:sz w:val="24"/>
                </w:rPr>
                <m:t>0.05</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 xml:space="preserve">=0.029 </m:t>
          </m:r>
          <m:r>
            <m:rPr>
              <m:sty m:val="p"/>
            </m:rPr>
            <w:rPr>
              <w:rFonts w:ascii="Cambria Math" w:hAnsi="Cambria Math"/>
              <w:sz w:val="24"/>
            </w:rPr>
            <m:t>N</m:t>
          </m:r>
        </m:oMath>
      </m:oMathPara>
    </w:p>
    <w:p>
      <w:pPr>
        <w:spacing w:line="360" w:lineRule="auto"/>
        <w:ind w:firstLine="480" w:firstLineChars="200"/>
        <w:rPr>
          <w:sz w:val="24"/>
        </w:rPr>
      </w:pPr>
      <w:r>
        <w:rPr>
          <w:sz w:val="24"/>
        </w:rPr>
        <w:t>测量重复性引入的标准不确定度大于标准器分辨力引入的标准不确定度，取其中较大者，则不考虑测力延度试验仪拉力示值分辨力引入的标准不确定度</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ascii="Cambria Math" w:hAnsi="Cambria Math"/>
                <w:sz w:val="24"/>
              </w:rPr>
              <m:t>2</m:t>
            </m:r>
            <m:ctrlPr>
              <w:rPr>
                <w:rFonts w:ascii="Cambria Math" w:hAnsi="Cambria Math"/>
                <w:i/>
                <w:iCs/>
                <w:sz w:val="24"/>
              </w:rPr>
            </m:ctrlPr>
          </m:sub>
        </m:sSub>
      </m:oMath>
      <w:r>
        <w:rPr>
          <w:sz w:val="24"/>
        </w:rPr>
        <w:t>。</w:t>
      </w:r>
    </w:p>
    <w:p>
      <w:pPr>
        <w:spacing w:line="312" w:lineRule="auto"/>
        <w:rPr>
          <w:sz w:val="24"/>
        </w:rPr>
      </w:pPr>
      <w:r>
        <w:rPr>
          <w:sz w:val="24"/>
        </w:rPr>
        <w:t>E.5.3标准测力仪示值误差引入的标准不确定度</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ascii="Cambria Math" w:hAnsi="Cambria Math"/>
                <w:sz w:val="24"/>
              </w:rPr>
              <m:t>3</m:t>
            </m:r>
            <m:ctrlPr>
              <w:rPr>
                <w:rFonts w:ascii="Cambria Math" w:hAnsi="Cambria Math"/>
                <w:i/>
                <w:iCs/>
                <w:sz w:val="24"/>
              </w:rPr>
            </m:ctrlPr>
          </m:sub>
        </m:sSub>
      </m:oMath>
    </w:p>
    <w:p>
      <w:pPr>
        <w:spacing w:line="312" w:lineRule="auto"/>
        <w:ind w:firstLine="480" w:firstLineChars="200"/>
        <w:rPr>
          <w:sz w:val="24"/>
        </w:rPr>
      </w:pPr>
      <w:r>
        <w:rPr>
          <w:sz w:val="24"/>
        </w:rPr>
        <w:t>根据标准测力仪最大允许误差：±0.3%，100 N时的最大允许误差：±0.3 N，不确定度区间半宽0.3 N，按均匀分布考虑，则标准测力仪最大允许误差引入的标准不确定度：</w:t>
      </w:r>
    </w:p>
    <w:p>
      <w:pPr>
        <w:spacing w:line="312" w:lineRule="auto"/>
        <w:ind w:firstLine="840" w:firstLineChars="350"/>
        <w:rPr>
          <w:sz w:val="24"/>
        </w:rPr>
      </w:pPr>
      <m:oMathPara>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ascii="Cambria Math" w:hAnsi="Cambria Math"/>
                  <w:sz w:val="24"/>
                </w:rPr>
                <m:t>3</m:t>
              </m:r>
              <m:ctrlPr>
                <w:rPr>
                  <w:rFonts w:ascii="Cambria Math" w:hAnsi="Cambria Math"/>
                  <w:i/>
                  <w:iCs/>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a</m:t>
              </m:r>
              <m:ctrlPr>
                <w:rPr>
                  <w:rFonts w:ascii="Cambria Math" w:hAnsi="Cambria Math"/>
                  <w:i/>
                  <w:sz w:val="24"/>
                </w:rPr>
              </m:ctrlPr>
            </m:num>
            <m:den>
              <m:r>
                <m:rPr/>
                <w:rPr>
                  <w:rFonts w:ascii="Cambria Math" w:hAnsi="Cambria Math"/>
                  <w:sz w:val="24"/>
                </w:rPr>
                <m:t>k</m:t>
              </m:r>
              <m:ctrlPr>
                <w:rPr>
                  <w:rFonts w:ascii="Cambria Math" w:hAnsi="Cambria Math"/>
                  <w:i/>
                  <w:sz w:val="24"/>
                </w:rPr>
              </m:ctrlPr>
            </m:den>
          </m:f>
          <m:r>
            <m:rPr/>
            <w:rPr>
              <w:rFonts w:ascii="Cambria Math" w:hAnsi="Cambria Math"/>
              <w:sz w:val="24"/>
            </w:rPr>
            <m:t>=</m:t>
          </m:r>
          <m:f>
            <m:fPr>
              <m:ctrlPr>
                <w:rPr>
                  <w:rFonts w:ascii="Cambria Math" w:hAnsi="Cambria Math"/>
                  <w:i/>
                  <w:sz w:val="24"/>
                </w:rPr>
              </m:ctrlPr>
            </m:fPr>
            <m:num>
              <m:r>
                <m:rPr/>
                <w:rPr>
                  <w:rFonts w:ascii="Cambria Math" w:hAnsi="Cambria Math"/>
                  <w:sz w:val="24"/>
                </w:rPr>
                <m:t>0.3</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 xml:space="preserve">=0.18 </m:t>
          </m:r>
          <m:r>
            <m:rPr>
              <m:sty m:val="p"/>
            </m:rPr>
            <w:rPr>
              <w:rFonts w:ascii="Cambria Math" w:hAnsi="Cambria Math"/>
              <w:sz w:val="24"/>
            </w:rPr>
            <m:t>N</m:t>
          </m:r>
        </m:oMath>
      </m:oMathPara>
    </w:p>
    <w:p>
      <w:pPr>
        <w:spacing w:line="312" w:lineRule="auto"/>
        <w:jc w:val="left"/>
        <w:rPr>
          <w:sz w:val="24"/>
        </w:rPr>
      </w:pPr>
      <w:r>
        <w:rPr>
          <w:sz w:val="24"/>
        </w:rPr>
        <w:t>E.6</w:t>
      </w:r>
      <w:r>
        <w:rPr>
          <w:rFonts w:eastAsia="黑体"/>
          <w:sz w:val="24"/>
        </w:rPr>
        <w:t xml:space="preserve"> </w:t>
      </w:r>
      <w:r>
        <w:rPr>
          <w:sz w:val="24"/>
        </w:rPr>
        <w:t>标准不确定度分量汇总表见表D.1</w:t>
      </w:r>
    </w:p>
    <w:p>
      <w:pPr>
        <w:spacing w:line="288" w:lineRule="auto"/>
        <w:ind w:firstLine="210" w:firstLineChars="100"/>
        <w:jc w:val="center"/>
        <w:rPr>
          <w:rFonts w:eastAsia="黑体"/>
        </w:rPr>
      </w:pPr>
      <w:r>
        <w:rPr>
          <w:rFonts w:eastAsia="黑体"/>
        </w:rPr>
        <w:t>表</w:t>
      </w:r>
      <w:r>
        <w:rPr>
          <w:rFonts w:eastAsia="黑体"/>
          <w:szCs w:val="21"/>
        </w:rPr>
        <w:t>D.1</w:t>
      </w:r>
      <w:r>
        <w:rPr>
          <w:rFonts w:eastAsia="黑体"/>
        </w:rPr>
        <w:t xml:space="preserve">  测力延度试验仪测量标准不确定度分量汇总表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410"/>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980" w:type="dxa"/>
            <w:vAlign w:val="center"/>
          </w:tcPr>
          <w:p>
            <w:pPr>
              <w:spacing w:line="288" w:lineRule="auto"/>
              <w:jc w:val="center"/>
            </w:pPr>
            <w:r>
              <w:t>标准不确定度</w:t>
            </w:r>
          </w:p>
        </w:tc>
        <w:tc>
          <w:tcPr>
            <w:tcW w:w="2410" w:type="dxa"/>
            <w:vAlign w:val="center"/>
          </w:tcPr>
          <w:p>
            <w:pPr>
              <w:spacing w:line="288" w:lineRule="auto"/>
              <w:jc w:val="center"/>
            </w:pPr>
            <w:r>
              <w:t>不确定度来源</w:t>
            </w:r>
          </w:p>
        </w:tc>
        <w:tc>
          <w:tcPr>
            <w:tcW w:w="1854" w:type="dxa"/>
            <w:vAlign w:val="center"/>
          </w:tcPr>
          <w:p>
            <w:pPr>
              <w:spacing w:line="288" w:lineRule="auto"/>
              <w:jc w:val="center"/>
            </w:pPr>
            <w: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80" w:type="dxa"/>
            <w:vAlign w:val="center"/>
          </w:tcPr>
          <w:p>
            <w:pPr>
              <w:spacing w:line="288" w:lineRule="auto"/>
              <w:jc w:val="center"/>
              <w:rPr>
                <w:szCs w:val="21"/>
              </w:rPr>
            </w:pPr>
            <m:oMathPara>
              <m:oMath>
                <m:sSub>
                  <m:sSubPr>
                    <m:ctrlPr>
                      <w:rPr>
                        <w:rFonts w:ascii="Cambria Math" w:hAnsi="Cambria Math"/>
                        <w:i/>
                        <w:iCs/>
                        <w:szCs w:val="21"/>
                      </w:rPr>
                    </m:ctrlPr>
                  </m:sSubPr>
                  <m:e>
                    <m:r>
                      <m:rPr/>
                      <w:rPr>
                        <w:rFonts w:ascii="Cambria Math" w:hAnsi="Cambria Math"/>
                        <w:szCs w:val="21"/>
                      </w:rPr>
                      <m:t>u</m:t>
                    </m:r>
                    <m:ctrlPr>
                      <w:rPr>
                        <w:rFonts w:ascii="Cambria Math" w:hAnsi="Cambria Math"/>
                        <w:i/>
                        <w:iCs/>
                        <w:szCs w:val="21"/>
                      </w:rPr>
                    </m:ctrlPr>
                  </m:e>
                  <m:sub>
                    <m:r>
                      <m:rPr/>
                      <w:rPr>
                        <w:rFonts w:ascii="Cambria Math" w:hAnsi="Cambria Math"/>
                        <w:szCs w:val="21"/>
                      </w:rPr>
                      <m:t>1</m:t>
                    </m:r>
                    <m:ctrlPr>
                      <w:rPr>
                        <w:rFonts w:ascii="Cambria Math" w:hAnsi="Cambria Math"/>
                        <w:i/>
                        <w:iCs/>
                        <w:szCs w:val="21"/>
                      </w:rPr>
                    </m:ctrlPr>
                  </m:sub>
                </m:sSub>
              </m:oMath>
            </m:oMathPara>
          </w:p>
        </w:tc>
        <w:tc>
          <w:tcPr>
            <w:tcW w:w="2410" w:type="dxa"/>
            <w:vAlign w:val="center"/>
          </w:tcPr>
          <w:p>
            <w:pPr>
              <w:spacing w:line="288" w:lineRule="auto"/>
              <w:jc w:val="center"/>
              <w:rPr>
                <w:szCs w:val="21"/>
              </w:rPr>
            </w:pPr>
            <w:r>
              <w:rPr>
                <w:szCs w:val="21"/>
              </w:rPr>
              <w:t>测量重复性</w:t>
            </w:r>
          </w:p>
        </w:tc>
        <w:tc>
          <w:tcPr>
            <w:tcW w:w="1854" w:type="dxa"/>
            <w:vAlign w:val="center"/>
          </w:tcPr>
          <w:p>
            <w:pPr>
              <w:spacing w:line="288" w:lineRule="auto"/>
              <w:jc w:val="center"/>
            </w:pPr>
            <w:r>
              <w:t>0.05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980" w:type="dxa"/>
            <w:vAlign w:val="center"/>
          </w:tcPr>
          <w:p>
            <w:pPr>
              <w:spacing w:line="288" w:lineRule="auto"/>
              <w:jc w:val="center"/>
              <w:rPr>
                <w:i/>
                <w:iCs/>
                <w:position w:val="-12"/>
                <w:szCs w:val="21"/>
              </w:rPr>
            </w:pPr>
            <m:oMathPara>
              <m:oMath>
                <m:sSub>
                  <m:sSubPr>
                    <m:ctrlPr>
                      <w:rPr>
                        <w:rFonts w:ascii="Cambria Math" w:hAnsi="Cambria Math"/>
                        <w:i/>
                        <w:iCs/>
                        <w:szCs w:val="21"/>
                      </w:rPr>
                    </m:ctrlPr>
                  </m:sSubPr>
                  <m:e>
                    <m:r>
                      <m:rPr/>
                      <w:rPr>
                        <w:rFonts w:ascii="Cambria Math" w:hAnsi="Cambria Math"/>
                        <w:szCs w:val="21"/>
                      </w:rPr>
                      <m:t>u</m:t>
                    </m:r>
                    <m:ctrlPr>
                      <w:rPr>
                        <w:rFonts w:ascii="Cambria Math" w:hAnsi="Cambria Math"/>
                        <w:i/>
                        <w:iCs/>
                        <w:szCs w:val="21"/>
                      </w:rPr>
                    </m:ctrlPr>
                  </m:e>
                  <m:sub>
                    <m:r>
                      <m:rPr/>
                      <w:rPr>
                        <w:rFonts w:ascii="Cambria Math" w:hAnsi="Cambria Math"/>
                        <w:szCs w:val="21"/>
                      </w:rPr>
                      <m:t>3</m:t>
                    </m:r>
                    <m:ctrlPr>
                      <w:rPr>
                        <w:rFonts w:ascii="Cambria Math" w:hAnsi="Cambria Math"/>
                        <w:i/>
                        <w:iCs/>
                        <w:szCs w:val="21"/>
                      </w:rPr>
                    </m:ctrlPr>
                  </m:sub>
                </m:sSub>
              </m:oMath>
            </m:oMathPara>
          </w:p>
        </w:tc>
        <w:tc>
          <w:tcPr>
            <w:tcW w:w="2410" w:type="dxa"/>
            <w:vAlign w:val="center"/>
          </w:tcPr>
          <w:p>
            <w:pPr>
              <w:spacing w:line="288" w:lineRule="auto"/>
              <w:jc w:val="center"/>
              <w:rPr>
                <w:szCs w:val="21"/>
              </w:rPr>
            </w:pPr>
            <w:r>
              <w:rPr>
                <w:szCs w:val="21"/>
              </w:rPr>
              <w:t>标准测力仪示值误差</w:t>
            </w:r>
          </w:p>
        </w:tc>
        <w:tc>
          <w:tcPr>
            <w:tcW w:w="1854" w:type="dxa"/>
            <w:vAlign w:val="center"/>
          </w:tcPr>
          <w:p>
            <w:pPr>
              <w:spacing w:line="288" w:lineRule="auto"/>
              <w:jc w:val="center"/>
            </w:pPr>
            <w:r>
              <w:t>0.18 N</w:t>
            </w:r>
          </w:p>
        </w:tc>
      </w:tr>
    </w:tbl>
    <w:p>
      <w:pPr>
        <w:spacing w:before="240" w:beforeLines="100" w:after="240" w:afterLines="100" w:line="288" w:lineRule="auto"/>
        <w:rPr>
          <w:rFonts w:eastAsia="黑体"/>
          <w:sz w:val="24"/>
        </w:rPr>
      </w:pPr>
      <w:r>
        <w:rPr>
          <w:sz w:val="24"/>
        </w:rPr>
        <w:t>E.7 合成标准不确定度</w:t>
      </w:r>
    </w:p>
    <w:p>
      <w:pPr>
        <w:spacing w:before="240" w:beforeLines="100" w:after="240" w:afterLines="100" w:line="288" w:lineRule="auto"/>
        <w:ind w:firstLine="480" w:firstLineChars="200"/>
        <w:rPr>
          <w:i/>
          <w:iCs/>
          <w:position w:val="-12"/>
        </w:rPr>
      </w:pPr>
      <w:r>
        <w:rPr>
          <w:sz w:val="24"/>
        </w:rPr>
        <w:t>测力延度试验仪拉力示值误差测量合成标准不确定度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d>
              <m:dPr>
                <m:ctrlPr>
                  <w:rPr>
                    <w:rFonts w:ascii="Cambria Math" w:hAnsi="Cambria Math"/>
                    <w:i/>
                    <w:sz w:val="24"/>
                  </w:rPr>
                </m:ctrlPr>
              </m:dPr>
              <m:e>
                <m:r>
                  <m:rPr/>
                  <w:rPr>
                    <w:rFonts w:ascii="Cambria Math" w:hAnsi="Cambria Math"/>
                    <w:sz w:val="24"/>
                  </w:rPr>
                  <m:t>ΔF</m:t>
                </m:r>
                <m:ctrlPr>
                  <w:rPr>
                    <w:rFonts w:ascii="Cambria Math" w:hAnsi="Cambria Math"/>
                    <w:i/>
                    <w:sz w:val="24"/>
                  </w:rPr>
                </m:ctrlPr>
              </m:e>
            </m:d>
            <m:ctrlPr>
              <w:rPr>
                <w:rFonts w:ascii="Cambria Math" w:hAnsi="Cambria Math"/>
                <w:i/>
                <w:sz w:val="24"/>
              </w:rPr>
            </m:ctrlPr>
          </m:sub>
        </m:sSub>
      </m:oMath>
      <w:r>
        <w:rPr>
          <w:sz w:val="24"/>
        </w:rPr>
        <w:fldChar w:fldCharType="begin"/>
      </w:r>
      <w:r>
        <w:rPr>
          <w:sz w:val="24"/>
        </w:rPr>
        <w:instrText xml:space="preserve"> QUOTE </w:instrText>
      </w:r>
      <w:r>
        <w:rPr>
          <w:position w:val="-8"/>
        </w:rPr>
        <w:drawing>
          <wp:inline distT="0" distB="0" distL="0" distR="0">
            <wp:extent cx="127000" cy="194945"/>
            <wp:effectExtent l="0" t="0" r="6350" b="0"/>
            <wp:docPr id="287436090" name="图片 287436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36090" name="图片 287436090"/>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94945"/>
                    </a:xfrm>
                    <a:prstGeom prst="rect">
                      <a:avLst/>
                    </a:prstGeom>
                    <a:noFill/>
                    <a:ln>
                      <a:noFill/>
                    </a:ln>
                  </pic:spPr>
                </pic:pic>
              </a:graphicData>
            </a:graphic>
          </wp:inline>
        </w:drawing>
      </w:r>
      <w:r>
        <w:rPr>
          <w:sz w:val="24"/>
        </w:rPr>
        <w:instrText xml:space="preserve"> </w:instrText>
      </w:r>
      <w:r>
        <w:rPr>
          <w:sz w:val="24"/>
        </w:rPr>
        <w:fldChar w:fldCharType="end"/>
      </w:r>
      <w:r>
        <w:rPr>
          <w:sz w:val="24"/>
        </w:rPr>
        <w:t>计算</w:t>
      </w:r>
    </w:p>
    <w:p>
      <w:pPr>
        <w:spacing w:before="240" w:beforeLines="100" w:after="240" w:afterLines="100" w:line="288" w:lineRule="auto"/>
        <w:ind w:firstLine="720" w:firstLineChars="300"/>
        <w:rPr>
          <w:sz w:val="24"/>
        </w:rPr>
      </w:pPr>
      <w:r>
        <w:rPr>
          <w:sz w:val="24"/>
        </w:rPr>
        <w:t>由于</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ascii="Cambria Math" w:hAnsi="Cambria Math"/>
                <w:sz w:val="24"/>
              </w:rPr>
              <m:t>1</m:t>
            </m:r>
            <m:ctrlPr>
              <w:rPr>
                <w:rFonts w:ascii="Cambria Math" w:hAnsi="Cambria Math"/>
                <w:i/>
                <w:iCs/>
                <w:sz w:val="24"/>
              </w:rPr>
            </m:ctrlPr>
          </m:sub>
        </m:sSub>
      </m:oMath>
      <w:r>
        <w:rPr>
          <w:sz w:val="24"/>
        </w:rPr>
        <w:fldChar w:fldCharType="begin"/>
      </w:r>
      <w:r>
        <w:rPr>
          <w:sz w:val="24"/>
        </w:rPr>
        <w:instrText xml:space="preserve"> QUOTE </w:instrText>
      </w:r>
      <w:r>
        <w:rPr>
          <w:position w:val="-8"/>
        </w:rPr>
        <w:drawing>
          <wp:inline distT="0" distB="0" distL="0" distR="0">
            <wp:extent cx="135255" cy="194945"/>
            <wp:effectExtent l="0" t="0" r="0" b="0"/>
            <wp:docPr id="405446095" name="图片 405446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446095" name="图片 405446095"/>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sz w:val="24"/>
        </w:rPr>
        <w:instrText xml:space="preserve"> </w:instrText>
      </w:r>
      <w:r>
        <w:rPr>
          <w:sz w:val="24"/>
        </w:rPr>
        <w:fldChar w:fldCharType="end"/>
      </w:r>
      <w:r>
        <w:rPr>
          <w:iCs/>
        </w:rPr>
        <w:fldChar w:fldCharType="begin"/>
      </w:r>
      <w:r>
        <w:rPr>
          <w:iCs/>
        </w:rPr>
        <w:instrText xml:space="preserve"> QUOTE </w:instrText>
      </w:r>
      <w:r>
        <w:rPr>
          <w:position w:val="-8"/>
        </w:rPr>
        <w:drawing>
          <wp:inline distT="0" distB="0" distL="0" distR="0">
            <wp:extent cx="135255" cy="194945"/>
            <wp:effectExtent l="0" t="0" r="0" b="0"/>
            <wp:docPr id="805017152" name="图片 805017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017152" name="图片 805017152"/>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iCs/>
        </w:rPr>
        <w:instrText xml:space="preserve"> </w:instrText>
      </w:r>
      <w:r>
        <w:rPr>
          <w:iCs/>
        </w:rPr>
        <w:fldChar w:fldCharType="end"/>
      </w:r>
      <w:r>
        <w:rPr>
          <w:iCs/>
        </w:rPr>
        <w:fldChar w:fldCharType="begin"/>
      </w:r>
      <w:r>
        <w:rPr>
          <w:iCs/>
        </w:rPr>
        <w:instrText xml:space="preserve"> QUOTE </w:instrText>
      </w:r>
      <w:r>
        <w:rPr>
          <w:position w:val="-8"/>
        </w:rPr>
        <w:drawing>
          <wp:inline distT="0" distB="0" distL="0" distR="0">
            <wp:extent cx="135255" cy="194945"/>
            <wp:effectExtent l="0" t="0" r="0" b="0"/>
            <wp:docPr id="718516194" name="图片 718516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516194" name="图片 718516194"/>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iCs/>
        </w:rPr>
        <w:instrText xml:space="preserve"> </w:instrText>
      </w:r>
      <w:r>
        <w:rPr>
          <w:iCs/>
        </w:rPr>
        <w:fldChar w:fldCharType="end"/>
      </w:r>
      <w:r>
        <w:rPr>
          <w:iCs/>
        </w:rPr>
        <w:t>、</w:t>
      </w: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ascii="Cambria Math" w:hAnsi="Cambria Math"/>
                <w:sz w:val="24"/>
              </w:rPr>
              <m:t>3</m:t>
            </m:r>
            <m:ctrlPr>
              <w:rPr>
                <w:rFonts w:ascii="Cambria Math" w:hAnsi="Cambria Math"/>
                <w:i/>
                <w:iCs/>
                <w:sz w:val="24"/>
              </w:rPr>
            </m:ctrlPr>
          </m:sub>
        </m:sSub>
      </m:oMath>
      <w:r>
        <w:rPr>
          <w:sz w:val="24"/>
        </w:rPr>
        <w:fldChar w:fldCharType="begin"/>
      </w:r>
      <w:r>
        <w:rPr>
          <w:sz w:val="24"/>
        </w:rPr>
        <w:instrText xml:space="preserve"> QUOTE </w:instrText>
      </w:r>
      <w:r>
        <w:rPr>
          <w:position w:val="-8"/>
        </w:rPr>
        <w:drawing>
          <wp:inline distT="0" distB="0" distL="0" distR="0">
            <wp:extent cx="135255" cy="194945"/>
            <wp:effectExtent l="0" t="0" r="0" b="0"/>
            <wp:docPr id="314115116" name="图片 314115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115116" name="图片 314115116"/>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94945"/>
                    </a:xfrm>
                    <a:prstGeom prst="rect">
                      <a:avLst/>
                    </a:prstGeom>
                    <a:noFill/>
                    <a:ln>
                      <a:noFill/>
                    </a:ln>
                  </pic:spPr>
                </pic:pic>
              </a:graphicData>
            </a:graphic>
          </wp:inline>
        </w:drawing>
      </w:r>
      <w:r>
        <w:rPr>
          <w:sz w:val="24"/>
        </w:rPr>
        <w:instrText xml:space="preserve"> </w:instrText>
      </w:r>
      <w:r>
        <w:rPr>
          <w:sz w:val="24"/>
        </w:rPr>
        <w:fldChar w:fldCharType="end"/>
      </w:r>
      <w:r>
        <w:rPr>
          <w:sz w:val="24"/>
        </w:rPr>
        <w:t>相互独立，则合成标准不确定度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oMath>
      <w:r>
        <w:rPr>
          <w:sz w:val="24"/>
        </w:rPr>
        <w:fldChar w:fldCharType="begin"/>
      </w:r>
      <w:r>
        <w:rPr>
          <w:sz w:val="24"/>
        </w:rPr>
        <w:instrText xml:space="preserve"> QUOTE </w:instrText>
      </w:r>
      <w:r>
        <w:rPr>
          <w:position w:val="-8"/>
        </w:rPr>
        <w:drawing>
          <wp:inline distT="0" distB="0" distL="0" distR="0">
            <wp:extent cx="127000" cy="194945"/>
            <wp:effectExtent l="0" t="0" r="6350" b="0"/>
            <wp:docPr id="1311427702" name="图片 1311427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427702" name="图片 1311427702"/>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94945"/>
                    </a:xfrm>
                    <a:prstGeom prst="rect">
                      <a:avLst/>
                    </a:prstGeom>
                    <a:noFill/>
                    <a:ln>
                      <a:noFill/>
                    </a:ln>
                  </pic:spPr>
                </pic:pic>
              </a:graphicData>
            </a:graphic>
          </wp:inline>
        </w:drawing>
      </w:r>
      <w:r>
        <w:rPr>
          <w:sz w:val="24"/>
        </w:rPr>
        <w:instrText xml:space="preserve"> </w:instrText>
      </w:r>
      <w:r>
        <w:rPr>
          <w:sz w:val="24"/>
        </w:rPr>
        <w:fldChar w:fldCharType="end"/>
      </w:r>
      <w:r>
        <w:rPr>
          <w:sz w:val="24"/>
        </w:rPr>
        <w:t>按下式计算</w:t>
      </w:r>
    </w:p>
    <w:p>
      <w:pPr>
        <w:spacing w:before="240" w:beforeLines="100" w:after="240" w:afterLines="100" w:line="288" w:lineRule="auto"/>
        <w:ind w:firstLine="720" w:firstLineChars="300"/>
        <w:jc w:val="right"/>
        <w:rPr>
          <w:sz w:val="24"/>
        </w:rPr>
      </w:pP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r>
          <m:rPr/>
          <w:rPr>
            <w:rFonts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ctrlPr>
              <w:rPr>
                <w:rFonts w:ascii="Cambria Math" w:hAnsi="Cambria Math"/>
                <w:i/>
                <w:sz w:val="24"/>
              </w:rPr>
            </m:ctrlPr>
          </m:e>
        </m:rad>
        <m:r>
          <m:rPr/>
          <w:rPr>
            <w:rFonts w:ascii="Cambria Math" w:hAnsi="Cambria Math"/>
            <w:sz w:val="24"/>
          </w:rPr>
          <m:t xml:space="preserve">=0.19 </m:t>
        </m:r>
        <m:r>
          <m:rPr>
            <m:sty m:val="p"/>
          </m:rPr>
          <w:rPr>
            <w:rFonts w:ascii="Cambria Math" w:hAnsi="Cambria Math"/>
            <w:sz w:val="24"/>
          </w:rPr>
          <m:t>N</m:t>
        </m:r>
      </m:oMath>
      <w:r>
        <w:rPr>
          <w:sz w:val="24"/>
        </w:rPr>
        <w:t xml:space="preserve">                .3）</w:t>
      </w:r>
    </w:p>
    <w:p>
      <w:pPr>
        <w:spacing w:before="240" w:beforeLines="100" w:after="240" w:afterLines="100" w:line="360" w:lineRule="auto"/>
        <w:rPr>
          <w:rFonts w:eastAsia="黑体"/>
          <w:sz w:val="24"/>
        </w:rPr>
      </w:pPr>
      <w:r>
        <w:rPr>
          <w:sz w:val="24"/>
        </w:rPr>
        <w:t>E.8</w:t>
      </w:r>
      <w:r>
        <w:rPr>
          <w:rFonts w:eastAsia="黑体"/>
          <w:sz w:val="24"/>
        </w:rPr>
        <w:t xml:space="preserve"> 扩展不确定度</w:t>
      </w:r>
    </w:p>
    <w:p>
      <w:pPr>
        <w:spacing w:line="360" w:lineRule="auto"/>
        <w:textAlignment w:val="baseline"/>
        <w:rPr>
          <w:sz w:val="24"/>
        </w:rPr>
      </w:pPr>
      <w:r>
        <w:rPr>
          <w:sz w:val="24"/>
        </w:rPr>
        <w:t xml:space="preserve">     取包含因子</w:t>
      </w:r>
      <w:r>
        <w:rPr>
          <w:i/>
          <w:iCs/>
          <w:sz w:val="24"/>
        </w:rPr>
        <w:t>k</w:t>
      </w:r>
      <w:r>
        <w:rPr>
          <w:sz w:val="24"/>
        </w:rPr>
        <w:t>=2，测力延度试验仪拉力示值误差测量不确定度为：</w:t>
      </w:r>
    </w:p>
    <w:p>
      <w:pPr>
        <w:spacing w:line="360" w:lineRule="auto"/>
        <w:jc w:val="center"/>
        <w:textAlignment w:val="baseline"/>
        <w:rPr>
          <w:sz w:val="24"/>
        </w:rPr>
      </w:pPr>
      <m:oMathPara>
        <m:oMath>
          <m:r>
            <m:rPr/>
            <w:rPr>
              <w:rFonts w:ascii="Cambria Math" w:hAnsi="Cambria Math"/>
              <w:sz w:val="24"/>
            </w:rPr>
            <m:t>U=k×</m:t>
          </m:r>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r>
            <m:rPr/>
            <w:rPr>
              <w:rFonts w:ascii="Cambria Math" w:hAnsi="Cambria Math"/>
              <w:sz w:val="24"/>
            </w:rPr>
            <m:t xml:space="preserve">=0.38 </m:t>
          </m:r>
          <m:r>
            <m:rPr>
              <m:sty m:val="p"/>
            </m:rPr>
            <w:rPr>
              <w:rFonts w:ascii="Cambria Math" w:hAnsi="Cambria Math"/>
              <w:sz w:val="24"/>
            </w:rPr>
            <m:t>N</m:t>
          </m:r>
        </m:oMath>
      </m:oMathPara>
    </w:p>
    <w:p>
      <w:pPr>
        <w:spacing w:line="360" w:lineRule="auto"/>
        <w:jc w:val="center"/>
        <w:textAlignment w:val="baseline"/>
        <w:rPr>
          <w:sz w:val="24"/>
        </w:rPr>
      </w:pPr>
      <w:r>
        <w:rPr>
          <w:sz w:val="24"/>
        </w:rPr>
        <w:t>取包含因子</w:t>
      </w:r>
      <w:r>
        <w:rPr>
          <w:i/>
          <w:iCs/>
          <w:sz w:val="24"/>
        </w:rPr>
        <w:t>k</w:t>
      </w:r>
      <w:r>
        <w:rPr>
          <w:sz w:val="24"/>
        </w:rPr>
        <w:t>=2，测力延度试验仪拉力示值误差相对扩展不确定度为：</w:t>
      </w:r>
    </w:p>
    <w:p>
      <w:pPr>
        <w:spacing w:line="360" w:lineRule="auto"/>
        <w:jc w:val="center"/>
        <w:textAlignment w:val="baseline"/>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m:sty m:val="p"/>
                </m:rPr>
                <w:rPr>
                  <w:rFonts w:ascii="Cambria Math" w:hAnsi="Cambria Math"/>
                  <w:sz w:val="24"/>
                </w:rPr>
                <m:t>rel</m:t>
              </m:r>
              <m:ctrlPr>
                <w:rPr>
                  <w:rFonts w:ascii="Cambria Math" w:hAnsi="Cambria Math"/>
                  <w:i/>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k×</m:t>
              </m:r>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ctrlPr>
                <w:rPr>
                  <w:rFonts w:ascii="Cambria Math" w:hAnsi="Cambria Math"/>
                  <w:i/>
                  <w:sz w:val="24"/>
                </w:rPr>
              </m:ctrlPr>
            </m:num>
            <m:den>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m:sty m:val="p"/>
                    </m:rPr>
                    <w:rPr>
                      <w:rFonts w:ascii="Cambria Math" w:hAnsi="Cambria Math"/>
                      <w:sz w:val="24"/>
                    </w:rPr>
                    <m:t>s</m:t>
                  </m:r>
                  <m:ctrlPr>
                    <w:rPr>
                      <w:rFonts w:ascii="Cambria Math" w:hAnsi="Cambria Math"/>
                      <w:i/>
                      <w:sz w:val="24"/>
                    </w:rPr>
                  </m:ctrlPr>
                </m:sub>
              </m:sSub>
              <m:ctrlPr>
                <w:rPr>
                  <w:rFonts w:ascii="Cambria Math" w:hAnsi="Cambria Math"/>
                  <w:i/>
                  <w:sz w:val="24"/>
                </w:rPr>
              </m:ctrlPr>
            </m:den>
          </m:f>
          <m:r>
            <m:rPr/>
            <w:rPr>
              <w:rFonts w:ascii="Cambria Math" w:hAnsi="Cambria Math"/>
              <w:sz w:val="24"/>
            </w:rPr>
            <m:t>=0.38 %</m:t>
          </m:r>
        </m:oMath>
      </m:oMathPara>
    </w:p>
    <w:p>
      <w:pPr>
        <w:autoSpaceDE w:val="0"/>
        <w:autoSpaceDN w:val="0"/>
        <w:adjustRightInd w:val="0"/>
        <w:spacing w:line="360" w:lineRule="auto"/>
        <w:ind w:leftChars="-5" w:hanging="10" w:hangingChars="5"/>
        <w:jc w:val="left"/>
        <w:rPr>
          <w:kern w:val="0"/>
        </w:rPr>
      </w:pPr>
      <w:r>
        <w:rPr>
          <w:szCs w:val="21"/>
        </w:rPr>
        <mc:AlternateContent>
          <mc:Choice Requires="wps">
            <w:drawing>
              <wp:anchor distT="0" distB="0" distL="114300" distR="114300" simplePos="0" relativeHeight="251665408" behindDoc="0" locked="0" layoutInCell="1" allowOverlap="1">
                <wp:simplePos x="0" y="0"/>
                <wp:positionH relativeFrom="column">
                  <wp:posOffset>2218690</wp:posOffset>
                </wp:positionH>
                <wp:positionV relativeFrom="paragraph">
                  <wp:posOffset>90805</wp:posOffset>
                </wp:positionV>
                <wp:extent cx="1485900" cy="0"/>
                <wp:effectExtent l="0" t="0" r="0" b="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25400">
                          <a:solidFill>
                            <a:srgbClr val="000000"/>
                          </a:solidFill>
                          <a:round/>
                        </a:ln>
                      </wps:spPr>
                      <wps:bodyPr/>
                    </wps:wsp>
                  </a:graphicData>
                </a:graphic>
              </wp:anchor>
            </w:drawing>
          </mc:Choice>
          <mc:Fallback>
            <w:pict>
              <v:line id="_x0000_s1026" o:spid="_x0000_s1026" o:spt="20" style="position:absolute;left:0pt;flip:y;margin-left:174.7pt;margin-top:7.15pt;height:0pt;width:117pt;z-index:251665408;mso-width-relative:page;mso-height-relative:page;" filled="f" stroked="t" coordsize="21600,21600" o:gfxdata="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c1vd3UAAAA&#10;CQEAAA8AAAAAAAAAAQAgAAAAIgAAAGRycy9kb3ducmV2LnhtbFBLAQIUABQAAAAIAIdO4kBfSum1&#10;6AEAALUDAAAOAAAAAAAAAAEAIAAAACMBAABkcnMvZTJvRG9jLnhtbFBLBQYAAAAABgAGAFkBAAB9&#10;BQAAAAA=&#10;">
                <v:fill on="f" focussize="0,0"/>
                <v:stroke weight="2pt" color="#000000" joinstyle="round"/>
                <v:imagedata o:title=""/>
                <o:lock v:ext="edit" aspectratio="f"/>
              </v:line>
            </w:pict>
          </mc:Fallback>
        </mc:AlternateContent>
      </w:r>
    </w:p>
    <w:sectPr>
      <w:pgSz w:w="11906" w:h="16838"/>
      <w:pgMar w:top="1769" w:right="1531" w:bottom="1440" w:left="1531" w:header="1157"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ECACFI+Arial,Bold">
    <w:altName w:val="微软雅黑"/>
    <w:panose1 w:val="00000000000000000000"/>
    <w:charset w:val="86"/>
    <w:family w:val="swiss"/>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4"/>
      </w:rPr>
    </w:pPr>
    <w:r>
      <w:fldChar w:fldCharType="begin"/>
    </w:r>
    <w:r>
      <w:rPr>
        <w:rStyle w:val="24"/>
      </w:rPr>
      <w:instrText xml:space="preserve">PAGE  </w:instrText>
    </w:r>
    <w: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jc w:val="center"/>
    </w:pPr>
    <w:r>
      <w:rPr>
        <w:rStyle w:val="24"/>
      </w:rPr>
      <w:fldChar w:fldCharType="begin"/>
    </w:r>
    <w:r>
      <w:rPr>
        <w:rStyle w:val="24"/>
      </w:rPr>
      <w:instrText xml:space="preserve"> PAGE </w:instrText>
    </w:r>
    <w:r>
      <w:rPr>
        <w:rStyle w:val="24"/>
      </w:rPr>
      <w:fldChar w:fldCharType="separate"/>
    </w:r>
    <w:r>
      <w:rPr>
        <w:rStyle w:val="24"/>
      </w:rPr>
      <w:t>I</w:t>
    </w:r>
    <w:r>
      <w:rPr>
        <w:rStyle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2</w:t>
    </w:r>
    <w:r>
      <w:rPr>
        <w:rStyle w:val="24"/>
      </w:rPr>
      <w:fldChar w:fldCharType="end"/>
    </w:r>
  </w:p>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rStyle w:val="24"/>
      </w:rPr>
      <w:fldChar w:fldCharType="begin"/>
    </w:r>
    <w:r>
      <w:rPr>
        <w:rStyle w:val="24"/>
      </w:rPr>
      <w:instrText xml:space="preserve"> PAGE </w:instrText>
    </w:r>
    <w:r>
      <w:rPr>
        <w:rStyle w:val="24"/>
      </w:rPr>
      <w:fldChar w:fldCharType="separate"/>
    </w:r>
    <w:r>
      <w:rPr>
        <w:rStyle w:val="24"/>
      </w:rPr>
      <w:t>1</w:t>
    </w:r>
    <w:r>
      <w:rPr>
        <w:rStyle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黑体" w:eastAsia="黑体"/>
        <w:sz w:val="21"/>
        <w:szCs w:val="21"/>
      </w:rPr>
    </w:pPr>
    <w:r>
      <w:rPr>
        <w:rFonts w:hint="eastAsia" w:ascii="黑体" w:eastAsia="黑体"/>
        <w:sz w:val="21"/>
        <w:szCs w:val="21"/>
      </w:rPr>
      <w:t>JJF XXXX-201X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黑体" w:eastAsia="黑体"/>
        <w:sz w:val="21"/>
        <w:szCs w:val="21"/>
      </w:rPr>
    </w:pPr>
    <w:r>
      <w:rPr>
        <w:rFonts w:hint="eastAsia" w:ascii="黑体" w:eastAsia="黑体"/>
        <w:sz w:val="21"/>
        <w:szCs w:val="21"/>
      </w:rPr>
      <w:t>JJF XXXX-20</w:t>
    </w:r>
    <w:r>
      <w:rPr>
        <w:rFonts w:ascii="黑体" w:eastAsia="黑体"/>
        <w:sz w:val="21"/>
        <w:szCs w:val="21"/>
      </w:rPr>
      <w:t>2</w:t>
    </w:r>
    <w:r>
      <w:rPr>
        <w:rFonts w:hint="eastAsia" w:ascii="黑体" w:eastAsia="黑体"/>
        <w:sz w:val="21"/>
        <w:szCs w:val="21"/>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rPr>
        <w:rFonts w:ascii="黑体" w:eastAsia="黑体"/>
        <w:sz w:val="21"/>
        <w:szCs w:val="21"/>
      </w:rPr>
    </w:pPr>
    <w:r>
      <w:rPr>
        <w:rFonts w:hint="eastAsia" w:ascii="黑体" w:eastAsia="黑体"/>
        <w:sz w:val="21"/>
        <w:szCs w:val="21"/>
      </w:rPr>
      <w:t>JJF XXXX-20</w:t>
    </w:r>
    <w:r>
      <w:rPr>
        <w:rFonts w:ascii="黑体" w:eastAsia="黑体"/>
        <w:sz w:val="21"/>
        <w:szCs w:val="21"/>
      </w:rPr>
      <w:t>2</w:t>
    </w:r>
    <w:r>
      <w:rPr>
        <w:rFonts w:hint="eastAsia" w:ascii="黑体" w:eastAsia="黑体"/>
        <w:sz w:val="21"/>
        <w:szCs w:val="21"/>
      </w:rPr>
      <w:t>X</w:t>
    </w:r>
  </w:p>
  <w:p>
    <w:pPr>
      <w:pStyle w:val="15"/>
      <w:pBdr>
        <w:bottom w:val="none" w:color="auto" w:sz="0" w:space="0"/>
      </w:pBdr>
    </w:pPr>
    <w:r>
      <w:rPr>
        <w:rFonts w:hint="eastAsia"/>
      </w:rPr>
      <w:t>__________________________________________________________________________________________________</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黑体" w:eastAsia="黑体"/>
        <w:sz w:val="21"/>
        <w:szCs w:val="21"/>
      </w:rPr>
    </w:pPr>
    <w:r>
      <w:rPr>
        <w:rFonts w:hint="eastAsia" w:ascii="黑体" w:eastAsia="黑体"/>
        <w:sz w:val="21"/>
        <w:szCs w:val="21"/>
      </w:rPr>
      <w:t>JJF XXXX-20</w:t>
    </w:r>
    <w:r>
      <w:rPr>
        <w:rFonts w:ascii="黑体" w:eastAsia="黑体"/>
        <w:sz w:val="21"/>
        <w:szCs w:val="21"/>
      </w:rPr>
      <w:t>2</w:t>
    </w:r>
    <w:r>
      <w:rPr>
        <w:rFonts w:hint="eastAsia" w:ascii="黑体" w:eastAsia="黑体"/>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4A7F21"/>
    <w:multiLevelType w:val="multilevel"/>
    <w:tmpl w:val="394A7F21"/>
    <w:lvl w:ilvl="0" w:tentative="0">
      <w:start w:val="1"/>
      <w:numFmt w:val="decimal"/>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
    <w:nsid w:val="471952C2"/>
    <w:multiLevelType w:val="multilevel"/>
    <w:tmpl w:val="471952C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A0E5B57"/>
    <w:multiLevelType w:val="multilevel"/>
    <w:tmpl w:val="6A0E5B57"/>
    <w:lvl w:ilvl="0" w:tentative="0">
      <w:start w:val="1"/>
      <w:numFmt w:val="decimal"/>
      <w:lvlText w:val="%1."/>
      <w:lvlJc w:val="left"/>
      <w:pPr>
        <w:ind w:left="1140" w:hanging="360"/>
      </w:pPr>
      <w:rPr>
        <w:rFonts w:hint="default"/>
      </w:rPr>
    </w:lvl>
    <w:lvl w:ilvl="1" w:tentative="0">
      <w:start w:val="1"/>
      <w:numFmt w:val="lowerLetter"/>
      <w:lvlText w:val="%2)"/>
      <w:lvlJc w:val="left"/>
      <w:pPr>
        <w:ind w:left="1660" w:hanging="440"/>
      </w:pPr>
    </w:lvl>
    <w:lvl w:ilvl="2" w:tentative="0">
      <w:start w:val="1"/>
      <w:numFmt w:val="lowerRoman"/>
      <w:lvlText w:val="%3."/>
      <w:lvlJc w:val="right"/>
      <w:pPr>
        <w:ind w:left="2100" w:hanging="440"/>
      </w:pPr>
    </w:lvl>
    <w:lvl w:ilvl="3" w:tentative="0">
      <w:start w:val="1"/>
      <w:numFmt w:val="decimal"/>
      <w:lvlText w:val="%4."/>
      <w:lvlJc w:val="left"/>
      <w:pPr>
        <w:ind w:left="2540" w:hanging="440"/>
      </w:pPr>
    </w:lvl>
    <w:lvl w:ilvl="4" w:tentative="0">
      <w:start w:val="1"/>
      <w:numFmt w:val="lowerLetter"/>
      <w:lvlText w:val="%5)"/>
      <w:lvlJc w:val="left"/>
      <w:pPr>
        <w:ind w:left="2980" w:hanging="440"/>
      </w:pPr>
    </w:lvl>
    <w:lvl w:ilvl="5" w:tentative="0">
      <w:start w:val="1"/>
      <w:numFmt w:val="lowerRoman"/>
      <w:lvlText w:val="%6."/>
      <w:lvlJc w:val="right"/>
      <w:pPr>
        <w:ind w:left="3420" w:hanging="440"/>
      </w:pPr>
    </w:lvl>
    <w:lvl w:ilvl="6" w:tentative="0">
      <w:start w:val="1"/>
      <w:numFmt w:val="decimal"/>
      <w:lvlText w:val="%7."/>
      <w:lvlJc w:val="left"/>
      <w:pPr>
        <w:ind w:left="3860" w:hanging="440"/>
      </w:pPr>
    </w:lvl>
    <w:lvl w:ilvl="7" w:tentative="0">
      <w:start w:val="1"/>
      <w:numFmt w:val="lowerLetter"/>
      <w:lvlText w:val="%8)"/>
      <w:lvlJc w:val="left"/>
      <w:pPr>
        <w:ind w:left="4300" w:hanging="440"/>
      </w:pPr>
    </w:lvl>
    <w:lvl w:ilvl="8" w:tentative="0">
      <w:start w:val="1"/>
      <w:numFmt w:val="lowerRoman"/>
      <w:lvlText w:val="%9."/>
      <w:lvlJc w:val="right"/>
      <w:pPr>
        <w:ind w:left="4740" w:hanging="440"/>
      </w:pPr>
    </w:lvl>
  </w:abstractNum>
  <w:abstractNum w:abstractNumId="3">
    <w:nsid w:val="6CEA2025"/>
    <w:multiLevelType w:val="multilevel"/>
    <w:tmpl w:val="6CEA2025"/>
    <w:lvl w:ilvl="0" w:tentative="0">
      <w:start w:val="1"/>
      <w:numFmt w:val="none"/>
      <w:pStyle w:val="60"/>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DBF04F4"/>
    <w:multiLevelType w:val="multilevel"/>
    <w:tmpl w:val="6DBF04F4"/>
    <w:lvl w:ilvl="0" w:tentative="0">
      <w:start w:val="1"/>
      <w:numFmt w:val="none"/>
      <w:pStyle w:val="6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5">
    <w:nsid w:val="6F444EF7"/>
    <w:multiLevelType w:val="multilevel"/>
    <w:tmpl w:val="6F444EF7"/>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
  <w:drawingGridVerticalSpacing w:val="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MzRkNGIzZTI3NjY2ODY1OTljZGZkMzViNGQ1MjUifQ=="/>
    <w:docVar w:name="KSO_WPS_MARK_KEY" w:val="4e4b02dd-b547-4686-83ca-b21efe6235b4"/>
  </w:docVars>
  <w:rsids>
    <w:rsidRoot w:val="00172A27"/>
    <w:rsid w:val="00000A11"/>
    <w:rsid w:val="00000B8F"/>
    <w:rsid w:val="00001744"/>
    <w:rsid w:val="0000201F"/>
    <w:rsid w:val="00002656"/>
    <w:rsid w:val="00002855"/>
    <w:rsid w:val="00004454"/>
    <w:rsid w:val="00005152"/>
    <w:rsid w:val="000051E2"/>
    <w:rsid w:val="000064C0"/>
    <w:rsid w:val="00006B52"/>
    <w:rsid w:val="00006C92"/>
    <w:rsid w:val="00006DE5"/>
    <w:rsid w:val="00007984"/>
    <w:rsid w:val="00007CB2"/>
    <w:rsid w:val="00007CBB"/>
    <w:rsid w:val="00007D8A"/>
    <w:rsid w:val="00012E63"/>
    <w:rsid w:val="000138C3"/>
    <w:rsid w:val="00014CE9"/>
    <w:rsid w:val="00014D4B"/>
    <w:rsid w:val="00014D96"/>
    <w:rsid w:val="00015BC5"/>
    <w:rsid w:val="00015DAE"/>
    <w:rsid w:val="00016724"/>
    <w:rsid w:val="00016B6B"/>
    <w:rsid w:val="00017272"/>
    <w:rsid w:val="000172FC"/>
    <w:rsid w:val="000207EB"/>
    <w:rsid w:val="00021C6F"/>
    <w:rsid w:val="00021CA8"/>
    <w:rsid w:val="00022623"/>
    <w:rsid w:val="0002428E"/>
    <w:rsid w:val="000248F8"/>
    <w:rsid w:val="000266DB"/>
    <w:rsid w:val="00026906"/>
    <w:rsid w:val="00026CD4"/>
    <w:rsid w:val="0002783E"/>
    <w:rsid w:val="00027B54"/>
    <w:rsid w:val="00027BFB"/>
    <w:rsid w:val="00030955"/>
    <w:rsid w:val="0003125D"/>
    <w:rsid w:val="0003128C"/>
    <w:rsid w:val="00031832"/>
    <w:rsid w:val="00032442"/>
    <w:rsid w:val="000325DD"/>
    <w:rsid w:val="00032A76"/>
    <w:rsid w:val="00032C8F"/>
    <w:rsid w:val="00032D0C"/>
    <w:rsid w:val="00034797"/>
    <w:rsid w:val="000351BC"/>
    <w:rsid w:val="00035710"/>
    <w:rsid w:val="00036634"/>
    <w:rsid w:val="000376DE"/>
    <w:rsid w:val="0003788C"/>
    <w:rsid w:val="00037FEB"/>
    <w:rsid w:val="00040E58"/>
    <w:rsid w:val="00040EFE"/>
    <w:rsid w:val="00041BA7"/>
    <w:rsid w:val="00041D2E"/>
    <w:rsid w:val="000426F0"/>
    <w:rsid w:val="000428D9"/>
    <w:rsid w:val="00042DF5"/>
    <w:rsid w:val="00043516"/>
    <w:rsid w:val="00043954"/>
    <w:rsid w:val="000442B9"/>
    <w:rsid w:val="000445A3"/>
    <w:rsid w:val="00045119"/>
    <w:rsid w:val="000453F8"/>
    <w:rsid w:val="000455B6"/>
    <w:rsid w:val="00045D4A"/>
    <w:rsid w:val="00046656"/>
    <w:rsid w:val="000467E3"/>
    <w:rsid w:val="00047971"/>
    <w:rsid w:val="00050E20"/>
    <w:rsid w:val="00052C6A"/>
    <w:rsid w:val="00053BF1"/>
    <w:rsid w:val="00054496"/>
    <w:rsid w:val="000546C4"/>
    <w:rsid w:val="00054727"/>
    <w:rsid w:val="00054EAE"/>
    <w:rsid w:val="00055178"/>
    <w:rsid w:val="0005552C"/>
    <w:rsid w:val="000558C4"/>
    <w:rsid w:val="00055F97"/>
    <w:rsid w:val="0005732E"/>
    <w:rsid w:val="00062E67"/>
    <w:rsid w:val="0006315C"/>
    <w:rsid w:val="00063175"/>
    <w:rsid w:val="0006332B"/>
    <w:rsid w:val="00063CC3"/>
    <w:rsid w:val="00063F34"/>
    <w:rsid w:val="00064142"/>
    <w:rsid w:val="00064582"/>
    <w:rsid w:val="0007026C"/>
    <w:rsid w:val="00070321"/>
    <w:rsid w:val="00070FC7"/>
    <w:rsid w:val="0007336F"/>
    <w:rsid w:val="00074493"/>
    <w:rsid w:val="0007556C"/>
    <w:rsid w:val="00075993"/>
    <w:rsid w:val="00075A4E"/>
    <w:rsid w:val="00076243"/>
    <w:rsid w:val="00076402"/>
    <w:rsid w:val="00077942"/>
    <w:rsid w:val="00080366"/>
    <w:rsid w:val="00080404"/>
    <w:rsid w:val="00081056"/>
    <w:rsid w:val="00081EF2"/>
    <w:rsid w:val="00082200"/>
    <w:rsid w:val="000823BE"/>
    <w:rsid w:val="00082B28"/>
    <w:rsid w:val="00082CC1"/>
    <w:rsid w:val="00083068"/>
    <w:rsid w:val="00083BF6"/>
    <w:rsid w:val="00084ED6"/>
    <w:rsid w:val="0008511C"/>
    <w:rsid w:val="00085193"/>
    <w:rsid w:val="00087FBB"/>
    <w:rsid w:val="00090D01"/>
    <w:rsid w:val="00091954"/>
    <w:rsid w:val="00091A3D"/>
    <w:rsid w:val="00091E58"/>
    <w:rsid w:val="00093603"/>
    <w:rsid w:val="000936AE"/>
    <w:rsid w:val="00093731"/>
    <w:rsid w:val="00094E47"/>
    <w:rsid w:val="00096200"/>
    <w:rsid w:val="00096D4A"/>
    <w:rsid w:val="00096FC6"/>
    <w:rsid w:val="00097175"/>
    <w:rsid w:val="000A0857"/>
    <w:rsid w:val="000A0DC2"/>
    <w:rsid w:val="000A0DCC"/>
    <w:rsid w:val="000A0F50"/>
    <w:rsid w:val="000A1560"/>
    <w:rsid w:val="000A1638"/>
    <w:rsid w:val="000A1D9E"/>
    <w:rsid w:val="000A234E"/>
    <w:rsid w:val="000A2C23"/>
    <w:rsid w:val="000A2FB6"/>
    <w:rsid w:val="000A3005"/>
    <w:rsid w:val="000A400A"/>
    <w:rsid w:val="000A574A"/>
    <w:rsid w:val="000A5AB0"/>
    <w:rsid w:val="000A5BCB"/>
    <w:rsid w:val="000A6EFD"/>
    <w:rsid w:val="000B00B5"/>
    <w:rsid w:val="000B0143"/>
    <w:rsid w:val="000B0902"/>
    <w:rsid w:val="000B0F56"/>
    <w:rsid w:val="000B1146"/>
    <w:rsid w:val="000B1182"/>
    <w:rsid w:val="000B132B"/>
    <w:rsid w:val="000B1F4D"/>
    <w:rsid w:val="000B20D0"/>
    <w:rsid w:val="000B30C8"/>
    <w:rsid w:val="000B4B24"/>
    <w:rsid w:val="000B546F"/>
    <w:rsid w:val="000B6865"/>
    <w:rsid w:val="000B6D2E"/>
    <w:rsid w:val="000B76EB"/>
    <w:rsid w:val="000B7C4D"/>
    <w:rsid w:val="000C0449"/>
    <w:rsid w:val="000C0B8F"/>
    <w:rsid w:val="000C0C03"/>
    <w:rsid w:val="000C223F"/>
    <w:rsid w:val="000C2A55"/>
    <w:rsid w:val="000C2DF4"/>
    <w:rsid w:val="000C37F5"/>
    <w:rsid w:val="000C4248"/>
    <w:rsid w:val="000C475D"/>
    <w:rsid w:val="000C47A4"/>
    <w:rsid w:val="000C530C"/>
    <w:rsid w:val="000C5471"/>
    <w:rsid w:val="000C5B63"/>
    <w:rsid w:val="000C5C5B"/>
    <w:rsid w:val="000C6063"/>
    <w:rsid w:val="000C641B"/>
    <w:rsid w:val="000C661B"/>
    <w:rsid w:val="000C7C4A"/>
    <w:rsid w:val="000D0DAF"/>
    <w:rsid w:val="000D1114"/>
    <w:rsid w:val="000D17A2"/>
    <w:rsid w:val="000D2723"/>
    <w:rsid w:val="000D278E"/>
    <w:rsid w:val="000D284A"/>
    <w:rsid w:val="000D2CC8"/>
    <w:rsid w:val="000D3035"/>
    <w:rsid w:val="000D303D"/>
    <w:rsid w:val="000D334B"/>
    <w:rsid w:val="000D33CE"/>
    <w:rsid w:val="000D3B21"/>
    <w:rsid w:val="000D504F"/>
    <w:rsid w:val="000D50ED"/>
    <w:rsid w:val="000D52C2"/>
    <w:rsid w:val="000D5707"/>
    <w:rsid w:val="000D62E8"/>
    <w:rsid w:val="000D68F5"/>
    <w:rsid w:val="000D7C8A"/>
    <w:rsid w:val="000E034E"/>
    <w:rsid w:val="000E05A2"/>
    <w:rsid w:val="000E09BD"/>
    <w:rsid w:val="000E0C88"/>
    <w:rsid w:val="000E123B"/>
    <w:rsid w:val="000E149A"/>
    <w:rsid w:val="000E17C2"/>
    <w:rsid w:val="000E1B1E"/>
    <w:rsid w:val="000E204F"/>
    <w:rsid w:val="000E2697"/>
    <w:rsid w:val="000E3869"/>
    <w:rsid w:val="000E3AE1"/>
    <w:rsid w:val="000E3E86"/>
    <w:rsid w:val="000E44D9"/>
    <w:rsid w:val="000E4C55"/>
    <w:rsid w:val="000E56FB"/>
    <w:rsid w:val="000E62BD"/>
    <w:rsid w:val="000E7CD6"/>
    <w:rsid w:val="000F06E5"/>
    <w:rsid w:val="000F096D"/>
    <w:rsid w:val="000F161F"/>
    <w:rsid w:val="000F23AE"/>
    <w:rsid w:val="000F247E"/>
    <w:rsid w:val="000F24D6"/>
    <w:rsid w:val="000F25D9"/>
    <w:rsid w:val="000F3376"/>
    <w:rsid w:val="000F361E"/>
    <w:rsid w:val="000F404B"/>
    <w:rsid w:val="000F7A57"/>
    <w:rsid w:val="00100448"/>
    <w:rsid w:val="00100A5D"/>
    <w:rsid w:val="00100E5B"/>
    <w:rsid w:val="0010161E"/>
    <w:rsid w:val="001026A5"/>
    <w:rsid w:val="00102DF0"/>
    <w:rsid w:val="001038EE"/>
    <w:rsid w:val="00104424"/>
    <w:rsid w:val="00104C6A"/>
    <w:rsid w:val="00104E92"/>
    <w:rsid w:val="00106417"/>
    <w:rsid w:val="00107869"/>
    <w:rsid w:val="00110478"/>
    <w:rsid w:val="00110B77"/>
    <w:rsid w:val="00110C3A"/>
    <w:rsid w:val="001123AC"/>
    <w:rsid w:val="0011341C"/>
    <w:rsid w:val="0011372E"/>
    <w:rsid w:val="00113AD9"/>
    <w:rsid w:val="00113E71"/>
    <w:rsid w:val="00114385"/>
    <w:rsid w:val="00114457"/>
    <w:rsid w:val="00114DCF"/>
    <w:rsid w:val="00115371"/>
    <w:rsid w:val="00116635"/>
    <w:rsid w:val="0011714C"/>
    <w:rsid w:val="00117219"/>
    <w:rsid w:val="00117FDA"/>
    <w:rsid w:val="00120295"/>
    <w:rsid w:val="00120654"/>
    <w:rsid w:val="0012114B"/>
    <w:rsid w:val="00121548"/>
    <w:rsid w:val="00121D20"/>
    <w:rsid w:val="001221CC"/>
    <w:rsid w:val="00122C1C"/>
    <w:rsid w:val="00123773"/>
    <w:rsid w:val="00124276"/>
    <w:rsid w:val="001242F2"/>
    <w:rsid w:val="00124B25"/>
    <w:rsid w:val="001256F4"/>
    <w:rsid w:val="001258A4"/>
    <w:rsid w:val="00125C51"/>
    <w:rsid w:val="00126E5C"/>
    <w:rsid w:val="001279DD"/>
    <w:rsid w:val="00127F62"/>
    <w:rsid w:val="00130868"/>
    <w:rsid w:val="00130FAA"/>
    <w:rsid w:val="001315AE"/>
    <w:rsid w:val="00131C59"/>
    <w:rsid w:val="001322BF"/>
    <w:rsid w:val="00132ADC"/>
    <w:rsid w:val="00132C17"/>
    <w:rsid w:val="00132DDE"/>
    <w:rsid w:val="00133054"/>
    <w:rsid w:val="00134543"/>
    <w:rsid w:val="00134EC9"/>
    <w:rsid w:val="00135405"/>
    <w:rsid w:val="00135855"/>
    <w:rsid w:val="00135A67"/>
    <w:rsid w:val="00135C04"/>
    <w:rsid w:val="00136237"/>
    <w:rsid w:val="00136BBA"/>
    <w:rsid w:val="00137F64"/>
    <w:rsid w:val="0014046D"/>
    <w:rsid w:val="0014141E"/>
    <w:rsid w:val="00141B5C"/>
    <w:rsid w:val="00141C43"/>
    <w:rsid w:val="00142278"/>
    <w:rsid w:val="00143264"/>
    <w:rsid w:val="001443EF"/>
    <w:rsid w:val="00145D14"/>
    <w:rsid w:val="00146265"/>
    <w:rsid w:val="0014661E"/>
    <w:rsid w:val="001474A7"/>
    <w:rsid w:val="00147839"/>
    <w:rsid w:val="00147DF9"/>
    <w:rsid w:val="00147FDD"/>
    <w:rsid w:val="00151513"/>
    <w:rsid w:val="00151651"/>
    <w:rsid w:val="00151F0A"/>
    <w:rsid w:val="001526DF"/>
    <w:rsid w:val="00152715"/>
    <w:rsid w:val="00153B3F"/>
    <w:rsid w:val="001549EC"/>
    <w:rsid w:val="00155093"/>
    <w:rsid w:val="00155CEB"/>
    <w:rsid w:val="0015629A"/>
    <w:rsid w:val="001602BE"/>
    <w:rsid w:val="00162095"/>
    <w:rsid w:val="0016354F"/>
    <w:rsid w:val="0016379D"/>
    <w:rsid w:val="00163B77"/>
    <w:rsid w:val="00164213"/>
    <w:rsid w:val="00164719"/>
    <w:rsid w:val="001648BB"/>
    <w:rsid w:val="00165EDA"/>
    <w:rsid w:val="00166119"/>
    <w:rsid w:val="00166445"/>
    <w:rsid w:val="00166B40"/>
    <w:rsid w:val="001671EC"/>
    <w:rsid w:val="00171063"/>
    <w:rsid w:val="001726F1"/>
    <w:rsid w:val="0017279B"/>
    <w:rsid w:val="001727C0"/>
    <w:rsid w:val="00172A27"/>
    <w:rsid w:val="00173005"/>
    <w:rsid w:val="00174666"/>
    <w:rsid w:val="00175474"/>
    <w:rsid w:val="0017565E"/>
    <w:rsid w:val="00175C1C"/>
    <w:rsid w:val="00180960"/>
    <w:rsid w:val="001809FA"/>
    <w:rsid w:val="00180CA6"/>
    <w:rsid w:val="001810FB"/>
    <w:rsid w:val="00181130"/>
    <w:rsid w:val="0018188B"/>
    <w:rsid w:val="001818C7"/>
    <w:rsid w:val="00181B55"/>
    <w:rsid w:val="0018275C"/>
    <w:rsid w:val="00183751"/>
    <w:rsid w:val="001837B8"/>
    <w:rsid w:val="00183A16"/>
    <w:rsid w:val="00184342"/>
    <w:rsid w:val="001850D4"/>
    <w:rsid w:val="00186317"/>
    <w:rsid w:val="00186A5A"/>
    <w:rsid w:val="00186C2E"/>
    <w:rsid w:val="00186E71"/>
    <w:rsid w:val="00187351"/>
    <w:rsid w:val="00187590"/>
    <w:rsid w:val="00187A37"/>
    <w:rsid w:val="00191BBE"/>
    <w:rsid w:val="00191C23"/>
    <w:rsid w:val="00192968"/>
    <w:rsid w:val="00192E51"/>
    <w:rsid w:val="00193D89"/>
    <w:rsid w:val="00194020"/>
    <w:rsid w:val="0019511E"/>
    <w:rsid w:val="0019554C"/>
    <w:rsid w:val="00195BBA"/>
    <w:rsid w:val="00196596"/>
    <w:rsid w:val="00196717"/>
    <w:rsid w:val="00196D26"/>
    <w:rsid w:val="00197747"/>
    <w:rsid w:val="001979E4"/>
    <w:rsid w:val="001A0339"/>
    <w:rsid w:val="001A09CD"/>
    <w:rsid w:val="001A0DDF"/>
    <w:rsid w:val="001A2B9E"/>
    <w:rsid w:val="001A3A10"/>
    <w:rsid w:val="001A5A14"/>
    <w:rsid w:val="001A5B2C"/>
    <w:rsid w:val="001A7303"/>
    <w:rsid w:val="001A7691"/>
    <w:rsid w:val="001B06D1"/>
    <w:rsid w:val="001B1396"/>
    <w:rsid w:val="001B1467"/>
    <w:rsid w:val="001B1D86"/>
    <w:rsid w:val="001B2088"/>
    <w:rsid w:val="001B3237"/>
    <w:rsid w:val="001B36F5"/>
    <w:rsid w:val="001B5CA2"/>
    <w:rsid w:val="001B63CA"/>
    <w:rsid w:val="001B65D5"/>
    <w:rsid w:val="001B6AF9"/>
    <w:rsid w:val="001B6FD6"/>
    <w:rsid w:val="001B7EA4"/>
    <w:rsid w:val="001C01DE"/>
    <w:rsid w:val="001C0252"/>
    <w:rsid w:val="001C0E46"/>
    <w:rsid w:val="001C1C4D"/>
    <w:rsid w:val="001C2696"/>
    <w:rsid w:val="001C2E7C"/>
    <w:rsid w:val="001C2F32"/>
    <w:rsid w:val="001C32AD"/>
    <w:rsid w:val="001C360C"/>
    <w:rsid w:val="001C3857"/>
    <w:rsid w:val="001C3C09"/>
    <w:rsid w:val="001C518D"/>
    <w:rsid w:val="001C54AB"/>
    <w:rsid w:val="001C5854"/>
    <w:rsid w:val="001C5BF7"/>
    <w:rsid w:val="001C6300"/>
    <w:rsid w:val="001C6C30"/>
    <w:rsid w:val="001C6FC6"/>
    <w:rsid w:val="001C71E3"/>
    <w:rsid w:val="001C7A16"/>
    <w:rsid w:val="001D12CC"/>
    <w:rsid w:val="001D1367"/>
    <w:rsid w:val="001D1880"/>
    <w:rsid w:val="001D1D9E"/>
    <w:rsid w:val="001D2497"/>
    <w:rsid w:val="001D28FF"/>
    <w:rsid w:val="001D3839"/>
    <w:rsid w:val="001D4794"/>
    <w:rsid w:val="001D549A"/>
    <w:rsid w:val="001D5D9B"/>
    <w:rsid w:val="001D6426"/>
    <w:rsid w:val="001D695A"/>
    <w:rsid w:val="001D6DC2"/>
    <w:rsid w:val="001D7075"/>
    <w:rsid w:val="001D7436"/>
    <w:rsid w:val="001E0404"/>
    <w:rsid w:val="001E05C9"/>
    <w:rsid w:val="001E073D"/>
    <w:rsid w:val="001E08E2"/>
    <w:rsid w:val="001E0EAF"/>
    <w:rsid w:val="001E11C7"/>
    <w:rsid w:val="001E18DC"/>
    <w:rsid w:val="001E1F4F"/>
    <w:rsid w:val="001E2CAD"/>
    <w:rsid w:val="001E307D"/>
    <w:rsid w:val="001E34E7"/>
    <w:rsid w:val="001E4213"/>
    <w:rsid w:val="001E4E7E"/>
    <w:rsid w:val="001E5682"/>
    <w:rsid w:val="001E5A67"/>
    <w:rsid w:val="001E5AB1"/>
    <w:rsid w:val="001E60CB"/>
    <w:rsid w:val="001E63FB"/>
    <w:rsid w:val="001E6B38"/>
    <w:rsid w:val="001E7620"/>
    <w:rsid w:val="001E782F"/>
    <w:rsid w:val="001E7DCE"/>
    <w:rsid w:val="001F0758"/>
    <w:rsid w:val="001F1179"/>
    <w:rsid w:val="001F146C"/>
    <w:rsid w:val="001F2033"/>
    <w:rsid w:val="001F2C5A"/>
    <w:rsid w:val="001F3982"/>
    <w:rsid w:val="001F3DB1"/>
    <w:rsid w:val="001F3F6B"/>
    <w:rsid w:val="001F53AD"/>
    <w:rsid w:val="001F55CA"/>
    <w:rsid w:val="001F654C"/>
    <w:rsid w:val="001F669A"/>
    <w:rsid w:val="001F67B2"/>
    <w:rsid w:val="001F6E14"/>
    <w:rsid w:val="001F6E75"/>
    <w:rsid w:val="001F748F"/>
    <w:rsid w:val="00200789"/>
    <w:rsid w:val="00200C9C"/>
    <w:rsid w:val="00200F46"/>
    <w:rsid w:val="002019B3"/>
    <w:rsid w:val="002022BE"/>
    <w:rsid w:val="00202B1C"/>
    <w:rsid w:val="00203406"/>
    <w:rsid w:val="0020348C"/>
    <w:rsid w:val="00205B70"/>
    <w:rsid w:val="00206F1A"/>
    <w:rsid w:val="00210DB0"/>
    <w:rsid w:val="00215929"/>
    <w:rsid w:val="00215CF3"/>
    <w:rsid w:val="00216811"/>
    <w:rsid w:val="002171EA"/>
    <w:rsid w:val="00217CA1"/>
    <w:rsid w:val="0022009C"/>
    <w:rsid w:val="00220299"/>
    <w:rsid w:val="00220520"/>
    <w:rsid w:val="00222FA6"/>
    <w:rsid w:val="00223266"/>
    <w:rsid w:val="00223D41"/>
    <w:rsid w:val="002248DA"/>
    <w:rsid w:val="00224CEB"/>
    <w:rsid w:val="002257F1"/>
    <w:rsid w:val="002260BC"/>
    <w:rsid w:val="00227AAB"/>
    <w:rsid w:val="0023040B"/>
    <w:rsid w:val="002326BC"/>
    <w:rsid w:val="00232A88"/>
    <w:rsid w:val="00232FD7"/>
    <w:rsid w:val="002338A7"/>
    <w:rsid w:val="00233A5E"/>
    <w:rsid w:val="00233D1B"/>
    <w:rsid w:val="00233D31"/>
    <w:rsid w:val="00233FF7"/>
    <w:rsid w:val="00234979"/>
    <w:rsid w:val="002359E7"/>
    <w:rsid w:val="00235D80"/>
    <w:rsid w:val="00235DFE"/>
    <w:rsid w:val="002363DE"/>
    <w:rsid w:val="002364E4"/>
    <w:rsid w:val="0023701A"/>
    <w:rsid w:val="002372DA"/>
    <w:rsid w:val="00240687"/>
    <w:rsid w:val="00240B16"/>
    <w:rsid w:val="00241077"/>
    <w:rsid w:val="00241695"/>
    <w:rsid w:val="002420A5"/>
    <w:rsid w:val="00242167"/>
    <w:rsid w:val="00242637"/>
    <w:rsid w:val="00243C7B"/>
    <w:rsid w:val="00243CD0"/>
    <w:rsid w:val="00243DB2"/>
    <w:rsid w:val="00244023"/>
    <w:rsid w:val="002443F7"/>
    <w:rsid w:val="00244FA2"/>
    <w:rsid w:val="00245299"/>
    <w:rsid w:val="002474C4"/>
    <w:rsid w:val="002476BE"/>
    <w:rsid w:val="002503F4"/>
    <w:rsid w:val="00250ABA"/>
    <w:rsid w:val="00251997"/>
    <w:rsid w:val="0025224B"/>
    <w:rsid w:val="002529BE"/>
    <w:rsid w:val="00252C3C"/>
    <w:rsid w:val="0025317C"/>
    <w:rsid w:val="00253AAE"/>
    <w:rsid w:val="0025650F"/>
    <w:rsid w:val="00260912"/>
    <w:rsid w:val="00260C90"/>
    <w:rsid w:val="00260CBD"/>
    <w:rsid w:val="00261E4A"/>
    <w:rsid w:val="0026257E"/>
    <w:rsid w:val="00262EA9"/>
    <w:rsid w:val="00262EF7"/>
    <w:rsid w:val="002649C4"/>
    <w:rsid w:val="00264FFA"/>
    <w:rsid w:val="00265311"/>
    <w:rsid w:val="0026559B"/>
    <w:rsid w:val="002655A8"/>
    <w:rsid w:val="00265D48"/>
    <w:rsid w:val="002660E9"/>
    <w:rsid w:val="0027000E"/>
    <w:rsid w:val="002703AE"/>
    <w:rsid w:val="00270E72"/>
    <w:rsid w:val="00270EA2"/>
    <w:rsid w:val="0027167E"/>
    <w:rsid w:val="0027180C"/>
    <w:rsid w:val="002725FE"/>
    <w:rsid w:val="002728F2"/>
    <w:rsid w:val="00273190"/>
    <w:rsid w:val="002734BD"/>
    <w:rsid w:val="00273585"/>
    <w:rsid w:val="00273624"/>
    <w:rsid w:val="00273DEE"/>
    <w:rsid w:val="0027423C"/>
    <w:rsid w:val="0027456A"/>
    <w:rsid w:val="00274AA4"/>
    <w:rsid w:val="00274D4C"/>
    <w:rsid w:val="00275F92"/>
    <w:rsid w:val="00276942"/>
    <w:rsid w:val="002770C7"/>
    <w:rsid w:val="002805E8"/>
    <w:rsid w:val="00280C6E"/>
    <w:rsid w:val="0028160D"/>
    <w:rsid w:val="002817FE"/>
    <w:rsid w:val="00281808"/>
    <w:rsid w:val="00282EBE"/>
    <w:rsid w:val="00283004"/>
    <w:rsid w:val="002830CF"/>
    <w:rsid w:val="002831A8"/>
    <w:rsid w:val="002834C8"/>
    <w:rsid w:val="002834FD"/>
    <w:rsid w:val="00283647"/>
    <w:rsid w:val="00283E73"/>
    <w:rsid w:val="00284279"/>
    <w:rsid w:val="00284478"/>
    <w:rsid w:val="00284490"/>
    <w:rsid w:val="0028491C"/>
    <w:rsid w:val="00284D5D"/>
    <w:rsid w:val="002862E6"/>
    <w:rsid w:val="002868A7"/>
    <w:rsid w:val="00286963"/>
    <w:rsid w:val="00286C2B"/>
    <w:rsid w:val="00287396"/>
    <w:rsid w:val="00287D35"/>
    <w:rsid w:val="00287F5B"/>
    <w:rsid w:val="00290BA0"/>
    <w:rsid w:val="00291324"/>
    <w:rsid w:val="002915C9"/>
    <w:rsid w:val="002925A9"/>
    <w:rsid w:val="002936E0"/>
    <w:rsid w:val="00295B8D"/>
    <w:rsid w:val="00295C07"/>
    <w:rsid w:val="00295E5B"/>
    <w:rsid w:val="002960A1"/>
    <w:rsid w:val="002960D6"/>
    <w:rsid w:val="00296F26"/>
    <w:rsid w:val="0029731B"/>
    <w:rsid w:val="002976BF"/>
    <w:rsid w:val="00297825"/>
    <w:rsid w:val="00297EBC"/>
    <w:rsid w:val="002A04CA"/>
    <w:rsid w:val="002A0AF6"/>
    <w:rsid w:val="002A11E8"/>
    <w:rsid w:val="002A19EC"/>
    <w:rsid w:val="002A20DA"/>
    <w:rsid w:val="002A2904"/>
    <w:rsid w:val="002A3128"/>
    <w:rsid w:val="002A31EA"/>
    <w:rsid w:val="002A35A4"/>
    <w:rsid w:val="002A3649"/>
    <w:rsid w:val="002A3724"/>
    <w:rsid w:val="002A3BBA"/>
    <w:rsid w:val="002A5B3C"/>
    <w:rsid w:val="002A6769"/>
    <w:rsid w:val="002A6DDF"/>
    <w:rsid w:val="002A75A5"/>
    <w:rsid w:val="002A7CF4"/>
    <w:rsid w:val="002B0350"/>
    <w:rsid w:val="002B087A"/>
    <w:rsid w:val="002B0975"/>
    <w:rsid w:val="002B1408"/>
    <w:rsid w:val="002B1CEA"/>
    <w:rsid w:val="002B2781"/>
    <w:rsid w:val="002B35F5"/>
    <w:rsid w:val="002B4FC8"/>
    <w:rsid w:val="002B568B"/>
    <w:rsid w:val="002B57C7"/>
    <w:rsid w:val="002B646D"/>
    <w:rsid w:val="002B7850"/>
    <w:rsid w:val="002C022C"/>
    <w:rsid w:val="002C0615"/>
    <w:rsid w:val="002C14CE"/>
    <w:rsid w:val="002C168C"/>
    <w:rsid w:val="002C16BD"/>
    <w:rsid w:val="002C3BBC"/>
    <w:rsid w:val="002C450D"/>
    <w:rsid w:val="002C4692"/>
    <w:rsid w:val="002C496E"/>
    <w:rsid w:val="002C4F04"/>
    <w:rsid w:val="002C5B72"/>
    <w:rsid w:val="002C643A"/>
    <w:rsid w:val="002C7453"/>
    <w:rsid w:val="002C7744"/>
    <w:rsid w:val="002D0237"/>
    <w:rsid w:val="002D03CE"/>
    <w:rsid w:val="002D0A89"/>
    <w:rsid w:val="002D1178"/>
    <w:rsid w:val="002D1258"/>
    <w:rsid w:val="002D1601"/>
    <w:rsid w:val="002D22C9"/>
    <w:rsid w:val="002D2733"/>
    <w:rsid w:val="002D3935"/>
    <w:rsid w:val="002D4627"/>
    <w:rsid w:val="002D4651"/>
    <w:rsid w:val="002D4879"/>
    <w:rsid w:val="002D4884"/>
    <w:rsid w:val="002D4CD7"/>
    <w:rsid w:val="002D52C4"/>
    <w:rsid w:val="002D5762"/>
    <w:rsid w:val="002D5992"/>
    <w:rsid w:val="002D60D8"/>
    <w:rsid w:val="002D66F0"/>
    <w:rsid w:val="002D6F54"/>
    <w:rsid w:val="002D7941"/>
    <w:rsid w:val="002D7EE1"/>
    <w:rsid w:val="002E012B"/>
    <w:rsid w:val="002E03A4"/>
    <w:rsid w:val="002E06A1"/>
    <w:rsid w:val="002E0AF7"/>
    <w:rsid w:val="002E1051"/>
    <w:rsid w:val="002E1663"/>
    <w:rsid w:val="002E1712"/>
    <w:rsid w:val="002E238A"/>
    <w:rsid w:val="002E343A"/>
    <w:rsid w:val="002E3572"/>
    <w:rsid w:val="002E3AFF"/>
    <w:rsid w:val="002E414F"/>
    <w:rsid w:val="002E4646"/>
    <w:rsid w:val="002E5DFA"/>
    <w:rsid w:val="002E6078"/>
    <w:rsid w:val="002E6229"/>
    <w:rsid w:val="002E6247"/>
    <w:rsid w:val="002E6DAF"/>
    <w:rsid w:val="002E7DCA"/>
    <w:rsid w:val="002F0484"/>
    <w:rsid w:val="002F08C7"/>
    <w:rsid w:val="002F0B41"/>
    <w:rsid w:val="002F1BD0"/>
    <w:rsid w:val="002F1FAD"/>
    <w:rsid w:val="002F2366"/>
    <w:rsid w:val="002F2443"/>
    <w:rsid w:val="002F31F6"/>
    <w:rsid w:val="002F3487"/>
    <w:rsid w:val="002F4041"/>
    <w:rsid w:val="002F5072"/>
    <w:rsid w:val="002F50DF"/>
    <w:rsid w:val="002F561D"/>
    <w:rsid w:val="002F6FC2"/>
    <w:rsid w:val="002F7ACB"/>
    <w:rsid w:val="00300A91"/>
    <w:rsid w:val="00300C2C"/>
    <w:rsid w:val="0030168E"/>
    <w:rsid w:val="00301C3B"/>
    <w:rsid w:val="0030258B"/>
    <w:rsid w:val="003026B6"/>
    <w:rsid w:val="00302851"/>
    <w:rsid w:val="0030513C"/>
    <w:rsid w:val="00305863"/>
    <w:rsid w:val="00306E97"/>
    <w:rsid w:val="00310017"/>
    <w:rsid w:val="0031072D"/>
    <w:rsid w:val="003108BF"/>
    <w:rsid w:val="0031149D"/>
    <w:rsid w:val="00311BDE"/>
    <w:rsid w:val="00311C53"/>
    <w:rsid w:val="0031286C"/>
    <w:rsid w:val="003129CC"/>
    <w:rsid w:val="00312F1F"/>
    <w:rsid w:val="00313834"/>
    <w:rsid w:val="00313DE7"/>
    <w:rsid w:val="00314B2E"/>
    <w:rsid w:val="00314F95"/>
    <w:rsid w:val="0031510D"/>
    <w:rsid w:val="00315A43"/>
    <w:rsid w:val="00315B9B"/>
    <w:rsid w:val="00315BB2"/>
    <w:rsid w:val="00316781"/>
    <w:rsid w:val="00317338"/>
    <w:rsid w:val="003173AD"/>
    <w:rsid w:val="003179ED"/>
    <w:rsid w:val="00321BC0"/>
    <w:rsid w:val="00321EFF"/>
    <w:rsid w:val="003245DF"/>
    <w:rsid w:val="00324B70"/>
    <w:rsid w:val="00324C2A"/>
    <w:rsid w:val="00325477"/>
    <w:rsid w:val="00325523"/>
    <w:rsid w:val="00325570"/>
    <w:rsid w:val="00325DFF"/>
    <w:rsid w:val="00326112"/>
    <w:rsid w:val="0032684B"/>
    <w:rsid w:val="0032689D"/>
    <w:rsid w:val="00326FBF"/>
    <w:rsid w:val="003309D6"/>
    <w:rsid w:val="00330C2B"/>
    <w:rsid w:val="00333AE8"/>
    <w:rsid w:val="0033494F"/>
    <w:rsid w:val="00335266"/>
    <w:rsid w:val="00335307"/>
    <w:rsid w:val="00335354"/>
    <w:rsid w:val="0033594A"/>
    <w:rsid w:val="00337103"/>
    <w:rsid w:val="0033762A"/>
    <w:rsid w:val="00340738"/>
    <w:rsid w:val="00342DB6"/>
    <w:rsid w:val="00343D51"/>
    <w:rsid w:val="00344786"/>
    <w:rsid w:val="00344A50"/>
    <w:rsid w:val="00345F6F"/>
    <w:rsid w:val="00346470"/>
    <w:rsid w:val="003466F8"/>
    <w:rsid w:val="00350776"/>
    <w:rsid w:val="0035109C"/>
    <w:rsid w:val="003515EC"/>
    <w:rsid w:val="00351624"/>
    <w:rsid w:val="00352F96"/>
    <w:rsid w:val="00353308"/>
    <w:rsid w:val="003536B5"/>
    <w:rsid w:val="00353FFD"/>
    <w:rsid w:val="00354326"/>
    <w:rsid w:val="00354D75"/>
    <w:rsid w:val="00354FE2"/>
    <w:rsid w:val="00355B28"/>
    <w:rsid w:val="00356137"/>
    <w:rsid w:val="003562DD"/>
    <w:rsid w:val="00357995"/>
    <w:rsid w:val="00357BB2"/>
    <w:rsid w:val="00357BE5"/>
    <w:rsid w:val="00360E17"/>
    <w:rsid w:val="00361BDF"/>
    <w:rsid w:val="00361F6F"/>
    <w:rsid w:val="00362073"/>
    <w:rsid w:val="003622E8"/>
    <w:rsid w:val="003626E8"/>
    <w:rsid w:val="00362A7F"/>
    <w:rsid w:val="00364288"/>
    <w:rsid w:val="00364B9B"/>
    <w:rsid w:val="00365C99"/>
    <w:rsid w:val="00365DAA"/>
    <w:rsid w:val="00365EE0"/>
    <w:rsid w:val="00366464"/>
    <w:rsid w:val="00366A2E"/>
    <w:rsid w:val="00367468"/>
    <w:rsid w:val="00367609"/>
    <w:rsid w:val="00367652"/>
    <w:rsid w:val="003676D1"/>
    <w:rsid w:val="003676ED"/>
    <w:rsid w:val="00367B42"/>
    <w:rsid w:val="00371448"/>
    <w:rsid w:val="003715A3"/>
    <w:rsid w:val="003718F1"/>
    <w:rsid w:val="00371A23"/>
    <w:rsid w:val="00371E8C"/>
    <w:rsid w:val="00372F18"/>
    <w:rsid w:val="0037361E"/>
    <w:rsid w:val="003771CC"/>
    <w:rsid w:val="00377ACE"/>
    <w:rsid w:val="00377CFF"/>
    <w:rsid w:val="00380A74"/>
    <w:rsid w:val="00380AAF"/>
    <w:rsid w:val="00382416"/>
    <w:rsid w:val="00382ECE"/>
    <w:rsid w:val="00383ADB"/>
    <w:rsid w:val="0038435B"/>
    <w:rsid w:val="00384CDC"/>
    <w:rsid w:val="003850F5"/>
    <w:rsid w:val="003853E0"/>
    <w:rsid w:val="00385A1A"/>
    <w:rsid w:val="00385F78"/>
    <w:rsid w:val="00386373"/>
    <w:rsid w:val="003876A8"/>
    <w:rsid w:val="00387E10"/>
    <w:rsid w:val="00390E71"/>
    <w:rsid w:val="00391351"/>
    <w:rsid w:val="003922D3"/>
    <w:rsid w:val="003927AF"/>
    <w:rsid w:val="00392A5E"/>
    <w:rsid w:val="00392B3D"/>
    <w:rsid w:val="00394E1C"/>
    <w:rsid w:val="00397C19"/>
    <w:rsid w:val="003A0238"/>
    <w:rsid w:val="003A0A4C"/>
    <w:rsid w:val="003A0DA8"/>
    <w:rsid w:val="003A0EDC"/>
    <w:rsid w:val="003A1B40"/>
    <w:rsid w:val="003A1C4D"/>
    <w:rsid w:val="003A1CCB"/>
    <w:rsid w:val="003A2B3C"/>
    <w:rsid w:val="003A3146"/>
    <w:rsid w:val="003A3D37"/>
    <w:rsid w:val="003A4399"/>
    <w:rsid w:val="003A4E38"/>
    <w:rsid w:val="003A4E82"/>
    <w:rsid w:val="003A54C1"/>
    <w:rsid w:val="003A596F"/>
    <w:rsid w:val="003A7A86"/>
    <w:rsid w:val="003A7DC1"/>
    <w:rsid w:val="003A7E03"/>
    <w:rsid w:val="003B1117"/>
    <w:rsid w:val="003B1974"/>
    <w:rsid w:val="003B1E9E"/>
    <w:rsid w:val="003B2793"/>
    <w:rsid w:val="003B2FC4"/>
    <w:rsid w:val="003B3619"/>
    <w:rsid w:val="003B4286"/>
    <w:rsid w:val="003B4899"/>
    <w:rsid w:val="003B4E66"/>
    <w:rsid w:val="003B51BE"/>
    <w:rsid w:val="003B55B2"/>
    <w:rsid w:val="003B5C70"/>
    <w:rsid w:val="003B5E31"/>
    <w:rsid w:val="003B618B"/>
    <w:rsid w:val="003B6D7F"/>
    <w:rsid w:val="003B6DDC"/>
    <w:rsid w:val="003B6E05"/>
    <w:rsid w:val="003B7A58"/>
    <w:rsid w:val="003C0DE5"/>
    <w:rsid w:val="003C189C"/>
    <w:rsid w:val="003C20CB"/>
    <w:rsid w:val="003C2E33"/>
    <w:rsid w:val="003C2F44"/>
    <w:rsid w:val="003C33A4"/>
    <w:rsid w:val="003C4DA8"/>
    <w:rsid w:val="003C538C"/>
    <w:rsid w:val="003C5C5C"/>
    <w:rsid w:val="003C73FD"/>
    <w:rsid w:val="003C7F9B"/>
    <w:rsid w:val="003D033B"/>
    <w:rsid w:val="003D0990"/>
    <w:rsid w:val="003D0A9D"/>
    <w:rsid w:val="003D1052"/>
    <w:rsid w:val="003D1277"/>
    <w:rsid w:val="003D1958"/>
    <w:rsid w:val="003D3A48"/>
    <w:rsid w:val="003D490B"/>
    <w:rsid w:val="003D49EE"/>
    <w:rsid w:val="003D5622"/>
    <w:rsid w:val="003D66FE"/>
    <w:rsid w:val="003D7285"/>
    <w:rsid w:val="003D7437"/>
    <w:rsid w:val="003D7BD9"/>
    <w:rsid w:val="003E0B41"/>
    <w:rsid w:val="003E108E"/>
    <w:rsid w:val="003E24F8"/>
    <w:rsid w:val="003E2687"/>
    <w:rsid w:val="003E2801"/>
    <w:rsid w:val="003E2B29"/>
    <w:rsid w:val="003E2B74"/>
    <w:rsid w:val="003E2F19"/>
    <w:rsid w:val="003E3835"/>
    <w:rsid w:val="003E3A52"/>
    <w:rsid w:val="003E421D"/>
    <w:rsid w:val="003E64DB"/>
    <w:rsid w:val="003E7262"/>
    <w:rsid w:val="003E74B8"/>
    <w:rsid w:val="003E74F4"/>
    <w:rsid w:val="003E7632"/>
    <w:rsid w:val="003E7D21"/>
    <w:rsid w:val="003E7F55"/>
    <w:rsid w:val="003F0BBD"/>
    <w:rsid w:val="003F1AB4"/>
    <w:rsid w:val="003F2C6D"/>
    <w:rsid w:val="003F2FEE"/>
    <w:rsid w:val="003F389B"/>
    <w:rsid w:val="003F4CC4"/>
    <w:rsid w:val="003F537F"/>
    <w:rsid w:val="003F5602"/>
    <w:rsid w:val="003F56B2"/>
    <w:rsid w:val="003F5F41"/>
    <w:rsid w:val="003F6FC2"/>
    <w:rsid w:val="003F7025"/>
    <w:rsid w:val="003F7745"/>
    <w:rsid w:val="0040024E"/>
    <w:rsid w:val="0040071D"/>
    <w:rsid w:val="00400808"/>
    <w:rsid w:val="0040205F"/>
    <w:rsid w:val="00402AB2"/>
    <w:rsid w:val="00402C2F"/>
    <w:rsid w:val="004032E8"/>
    <w:rsid w:val="004033B6"/>
    <w:rsid w:val="00403783"/>
    <w:rsid w:val="0040491A"/>
    <w:rsid w:val="004052F2"/>
    <w:rsid w:val="004054E4"/>
    <w:rsid w:val="00406167"/>
    <w:rsid w:val="0040632C"/>
    <w:rsid w:val="0040642F"/>
    <w:rsid w:val="00406993"/>
    <w:rsid w:val="004069F7"/>
    <w:rsid w:val="00406B8E"/>
    <w:rsid w:val="00407B58"/>
    <w:rsid w:val="00407BA1"/>
    <w:rsid w:val="00407D03"/>
    <w:rsid w:val="00410E1A"/>
    <w:rsid w:val="004119A1"/>
    <w:rsid w:val="0041266F"/>
    <w:rsid w:val="0041293C"/>
    <w:rsid w:val="00412DDF"/>
    <w:rsid w:val="0041316B"/>
    <w:rsid w:val="004132C0"/>
    <w:rsid w:val="00413327"/>
    <w:rsid w:val="00413B35"/>
    <w:rsid w:val="0041409C"/>
    <w:rsid w:val="00414809"/>
    <w:rsid w:val="00414CD9"/>
    <w:rsid w:val="0041561F"/>
    <w:rsid w:val="00415BD5"/>
    <w:rsid w:val="00415C74"/>
    <w:rsid w:val="004167B2"/>
    <w:rsid w:val="00416848"/>
    <w:rsid w:val="00416884"/>
    <w:rsid w:val="00416C37"/>
    <w:rsid w:val="0042004A"/>
    <w:rsid w:val="004204B7"/>
    <w:rsid w:val="00421117"/>
    <w:rsid w:val="004215FA"/>
    <w:rsid w:val="00421CA0"/>
    <w:rsid w:val="00422A60"/>
    <w:rsid w:val="00422C0D"/>
    <w:rsid w:val="00423E19"/>
    <w:rsid w:val="0043007B"/>
    <w:rsid w:val="004301E2"/>
    <w:rsid w:val="00430EA4"/>
    <w:rsid w:val="00430F50"/>
    <w:rsid w:val="00430FB1"/>
    <w:rsid w:val="0043103E"/>
    <w:rsid w:val="00431685"/>
    <w:rsid w:val="004317DE"/>
    <w:rsid w:val="0043286D"/>
    <w:rsid w:val="0043291E"/>
    <w:rsid w:val="00432C3C"/>
    <w:rsid w:val="0043317D"/>
    <w:rsid w:val="004331BA"/>
    <w:rsid w:val="00433EF9"/>
    <w:rsid w:val="0043452C"/>
    <w:rsid w:val="00434815"/>
    <w:rsid w:val="00435007"/>
    <w:rsid w:val="004362B8"/>
    <w:rsid w:val="00436B4C"/>
    <w:rsid w:val="00436FF5"/>
    <w:rsid w:val="0043709B"/>
    <w:rsid w:val="004405A8"/>
    <w:rsid w:val="00441957"/>
    <w:rsid w:val="00441CD0"/>
    <w:rsid w:val="00442F93"/>
    <w:rsid w:val="004432A6"/>
    <w:rsid w:val="00443BC9"/>
    <w:rsid w:val="004448B2"/>
    <w:rsid w:val="00444E90"/>
    <w:rsid w:val="00444FD8"/>
    <w:rsid w:val="00445940"/>
    <w:rsid w:val="00446ED6"/>
    <w:rsid w:val="00450CB1"/>
    <w:rsid w:val="004510F2"/>
    <w:rsid w:val="00451B89"/>
    <w:rsid w:val="004520E3"/>
    <w:rsid w:val="00452484"/>
    <w:rsid w:val="00452547"/>
    <w:rsid w:val="00452B3D"/>
    <w:rsid w:val="00452CB6"/>
    <w:rsid w:val="004533EC"/>
    <w:rsid w:val="00453662"/>
    <w:rsid w:val="0045438A"/>
    <w:rsid w:val="00454C00"/>
    <w:rsid w:val="00454F4B"/>
    <w:rsid w:val="004558B0"/>
    <w:rsid w:val="00455C0F"/>
    <w:rsid w:val="00456354"/>
    <w:rsid w:val="00456F31"/>
    <w:rsid w:val="00457599"/>
    <w:rsid w:val="0045785F"/>
    <w:rsid w:val="00457FD3"/>
    <w:rsid w:val="00460469"/>
    <w:rsid w:val="004608B5"/>
    <w:rsid w:val="004624D4"/>
    <w:rsid w:val="00462752"/>
    <w:rsid w:val="004628CF"/>
    <w:rsid w:val="004637A5"/>
    <w:rsid w:val="00463ACB"/>
    <w:rsid w:val="004648FC"/>
    <w:rsid w:val="00465130"/>
    <w:rsid w:val="00465EA1"/>
    <w:rsid w:val="004663DF"/>
    <w:rsid w:val="004675B4"/>
    <w:rsid w:val="00467751"/>
    <w:rsid w:val="00470771"/>
    <w:rsid w:val="00470B20"/>
    <w:rsid w:val="00470B39"/>
    <w:rsid w:val="004714D4"/>
    <w:rsid w:val="00471734"/>
    <w:rsid w:val="004729F4"/>
    <w:rsid w:val="00472AEE"/>
    <w:rsid w:val="00472B49"/>
    <w:rsid w:val="00473461"/>
    <w:rsid w:val="004735A6"/>
    <w:rsid w:val="00473626"/>
    <w:rsid w:val="00473B64"/>
    <w:rsid w:val="00474284"/>
    <w:rsid w:val="00474823"/>
    <w:rsid w:val="0047482C"/>
    <w:rsid w:val="004750F8"/>
    <w:rsid w:val="00475DFD"/>
    <w:rsid w:val="004763FD"/>
    <w:rsid w:val="0047642E"/>
    <w:rsid w:val="00477543"/>
    <w:rsid w:val="00477BBF"/>
    <w:rsid w:val="00480431"/>
    <w:rsid w:val="00480E5C"/>
    <w:rsid w:val="0048119D"/>
    <w:rsid w:val="00481877"/>
    <w:rsid w:val="00481D43"/>
    <w:rsid w:val="00482ED6"/>
    <w:rsid w:val="004835FF"/>
    <w:rsid w:val="004836FB"/>
    <w:rsid w:val="00483B1E"/>
    <w:rsid w:val="00483BE0"/>
    <w:rsid w:val="00483C33"/>
    <w:rsid w:val="004844CE"/>
    <w:rsid w:val="00484E6C"/>
    <w:rsid w:val="00485243"/>
    <w:rsid w:val="00486800"/>
    <w:rsid w:val="00491FBD"/>
    <w:rsid w:val="004925B6"/>
    <w:rsid w:val="00494389"/>
    <w:rsid w:val="00494E2A"/>
    <w:rsid w:val="00494F91"/>
    <w:rsid w:val="004961E2"/>
    <w:rsid w:val="00496FDB"/>
    <w:rsid w:val="0049719D"/>
    <w:rsid w:val="00497724"/>
    <w:rsid w:val="00497786"/>
    <w:rsid w:val="00497815"/>
    <w:rsid w:val="004A0287"/>
    <w:rsid w:val="004A1D07"/>
    <w:rsid w:val="004A1E0E"/>
    <w:rsid w:val="004A2023"/>
    <w:rsid w:val="004A25EC"/>
    <w:rsid w:val="004A2D8A"/>
    <w:rsid w:val="004A39F8"/>
    <w:rsid w:val="004A4152"/>
    <w:rsid w:val="004A452D"/>
    <w:rsid w:val="004A4548"/>
    <w:rsid w:val="004A56C7"/>
    <w:rsid w:val="004A64ED"/>
    <w:rsid w:val="004A6561"/>
    <w:rsid w:val="004A6669"/>
    <w:rsid w:val="004A6A2D"/>
    <w:rsid w:val="004A7274"/>
    <w:rsid w:val="004A72EE"/>
    <w:rsid w:val="004A7690"/>
    <w:rsid w:val="004A7881"/>
    <w:rsid w:val="004A79A8"/>
    <w:rsid w:val="004B0027"/>
    <w:rsid w:val="004B01C7"/>
    <w:rsid w:val="004B08F7"/>
    <w:rsid w:val="004B0B3B"/>
    <w:rsid w:val="004B1763"/>
    <w:rsid w:val="004B18AE"/>
    <w:rsid w:val="004B27D0"/>
    <w:rsid w:val="004B292C"/>
    <w:rsid w:val="004B2A3B"/>
    <w:rsid w:val="004B3F4D"/>
    <w:rsid w:val="004B42C3"/>
    <w:rsid w:val="004B42C6"/>
    <w:rsid w:val="004B44AE"/>
    <w:rsid w:val="004B59B2"/>
    <w:rsid w:val="004B5F13"/>
    <w:rsid w:val="004B65AE"/>
    <w:rsid w:val="004B65BB"/>
    <w:rsid w:val="004B6DDF"/>
    <w:rsid w:val="004B6DF6"/>
    <w:rsid w:val="004B7243"/>
    <w:rsid w:val="004B73EB"/>
    <w:rsid w:val="004B74E6"/>
    <w:rsid w:val="004B7779"/>
    <w:rsid w:val="004C0357"/>
    <w:rsid w:val="004C08B4"/>
    <w:rsid w:val="004C0927"/>
    <w:rsid w:val="004C16EF"/>
    <w:rsid w:val="004C1CC0"/>
    <w:rsid w:val="004C3049"/>
    <w:rsid w:val="004C3F49"/>
    <w:rsid w:val="004C418E"/>
    <w:rsid w:val="004C42F6"/>
    <w:rsid w:val="004C5CC7"/>
    <w:rsid w:val="004C6B7A"/>
    <w:rsid w:val="004C6E98"/>
    <w:rsid w:val="004D05E2"/>
    <w:rsid w:val="004D1A2C"/>
    <w:rsid w:val="004D1AC7"/>
    <w:rsid w:val="004D1D96"/>
    <w:rsid w:val="004D22EF"/>
    <w:rsid w:val="004D26F6"/>
    <w:rsid w:val="004D30F8"/>
    <w:rsid w:val="004D36AA"/>
    <w:rsid w:val="004D4626"/>
    <w:rsid w:val="004D6A9C"/>
    <w:rsid w:val="004D75E0"/>
    <w:rsid w:val="004D7F1A"/>
    <w:rsid w:val="004E0587"/>
    <w:rsid w:val="004E05EF"/>
    <w:rsid w:val="004E0666"/>
    <w:rsid w:val="004E1D8F"/>
    <w:rsid w:val="004E3857"/>
    <w:rsid w:val="004E43FC"/>
    <w:rsid w:val="004E4A4F"/>
    <w:rsid w:val="004E562B"/>
    <w:rsid w:val="004E5C28"/>
    <w:rsid w:val="004E6CA8"/>
    <w:rsid w:val="004E70AF"/>
    <w:rsid w:val="004F02DD"/>
    <w:rsid w:val="004F11BA"/>
    <w:rsid w:val="004F2D28"/>
    <w:rsid w:val="004F31DA"/>
    <w:rsid w:val="004F4341"/>
    <w:rsid w:val="004F6493"/>
    <w:rsid w:val="004F6F27"/>
    <w:rsid w:val="004F6FEB"/>
    <w:rsid w:val="0050004B"/>
    <w:rsid w:val="005009E3"/>
    <w:rsid w:val="00500A50"/>
    <w:rsid w:val="00500B66"/>
    <w:rsid w:val="00500C05"/>
    <w:rsid w:val="0050193A"/>
    <w:rsid w:val="00501DFD"/>
    <w:rsid w:val="005028E6"/>
    <w:rsid w:val="00502B0B"/>
    <w:rsid w:val="00503698"/>
    <w:rsid w:val="00503A7C"/>
    <w:rsid w:val="00503F42"/>
    <w:rsid w:val="00505120"/>
    <w:rsid w:val="00505758"/>
    <w:rsid w:val="005059FD"/>
    <w:rsid w:val="005063E1"/>
    <w:rsid w:val="00506BB8"/>
    <w:rsid w:val="00510FEE"/>
    <w:rsid w:val="005122D1"/>
    <w:rsid w:val="00512D9E"/>
    <w:rsid w:val="00512F99"/>
    <w:rsid w:val="0051328B"/>
    <w:rsid w:val="00514B25"/>
    <w:rsid w:val="00515118"/>
    <w:rsid w:val="005165BC"/>
    <w:rsid w:val="005167BF"/>
    <w:rsid w:val="00516969"/>
    <w:rsid w:val="00516DF7"/>
    <w:rsid w:val="0051763F"/>
    <w:rsid w:val="00517CE8"/>
    <w:rsid w:val="00520103"/>
    <w:rsid w:val="00520663"/>
    <w:rsid w:val="005207B6"/>
    <w:rsid w:val="00520919"/>
    <w:rsid w:val="00520C45"/>
    <w:rsid w:val="00520D0F"/>
    <w:rsid w:val="00521711"/>
    <w:rsid w:val="005221E9"/>
    <w:rsid w:val="00522B14"/>
    <w:rsid w:val="00522B9F"/>
    <w:rsid w:val="00524351"/>
    <w:rsid w:val="00524E80"/>
    <w:rsid w:val="005254AA"/>
    <w:rsid w:val="00525C07"/>
    <w:rsid w:val="005304C1"/>
    <w:rsid w:val="005307A1"/>
    <w:rsid w:val="0053125C"/>
    <w:rsid w:val="00531695"/>
    <w:rsid w:val="005325F8"/>
    <w:rsid w:val="00533AD5"/>
    <w:rsid w:val="00534172"/>
    <w:rsid w:val="005344DC"/>
    <w:rsid w:val="00535965"/>
    <w:rsid w:val="0053722D"/>
    <w:rsid w:val="00537239"/>
    <w:rsid w:val="00541526"/>
    <w:rsid w:val="00542D39"/>
    <w:rsid w:val="00542EDD"/>
    <w:rsid w:val="005434DD"/>
    <w:rsid w:val="005434E2"/>
    <w:rsid w:val="005439E9"/>
    <w:rsid w:val="005445A4"/>
    <w:rsid w:val="00546139"/>
    <w:rsid w:val="00546CF6"/>
    <w:rsid w:val="00547A6E"/>
    <w:rsid w:val="0055027F"/>
    <w:rsid w:val="00551288"/>
    <w:rsid w:val="00551CA7"/>
    <w:rsid w:val="0055291D"/>
    <w:rsid w:val="00552C65"/>
    <w:rsid w:val="00552F7E"/>
    <w:rsid w:val="005556F8"/>
    <w:rsid w:val="00556E5B"/>
    <w:rsid w:val="005570B6"/>
    <w:rsid w:val="00557A15"/>
    <w:rsid w:val="00557B94"/>
    <w:rsid w:val="00557BCB"/>
    <w:rsid w:val="005602E2"/>
    <w:rsid w:val="005614B6"/>
    <w:rsid w:val="00561958"/>
    <w:rsid w:val="00561B78"/>
    <w:rsid w:val="00561C4D"/>
    <w:rsid w:val="00561C6C"/>
    <w:rsid w:val="005624E8"/>
    <w:rsid w:val="00562A2A"/>
    <w:rsid w:val="00562E33"/>
    <w:rsid w:val="00562FC3"/>
    <w:rsid w:val="00563B8F"/>
    <w:rsid w:val="00564343"/>
    <w:rsid w:val="00564921"/>
    <w:rsid w:val="00564F77"/>
    <w:rsid w:val="00565A45"/>
    <w:rsid w:val="00566021"/>
    <w:rsid w:val="00566CA6"/>
    <w:rsid w:val="005679B5"/>
    <w:rsid w:val="005679BC"/>
    <w:rsid w:val="00567D6D"/>
    <w:rsid w:val="005701EA"/>
    <w:rsid w:val="005704A4"/>
    <w:rsid w:val="005708DE"/>
    <w:rsid w:val="005711E7"/>
    <w:rsid w:val="005715A6"/>
    <w:rsid w:val="00573664"/>
    <w:rsid w:val="00573D4F"/>
    <w:rsid w:val="00574357"/>
    <w:rsid w:val="005756FF"/>
    <w:rsid w:val="00580651"/>
    <w:rsid w:val="00581081"/>
    <w:rsid w:val="00581595"/>
    <w:rsid w:val="00582DEA"/>
    <w:rsid w:val="00582FA1"/>
    <w:rsid w:val="00583526"/>
    <w:rsid w:val="005852BA"/>
    <w:rsid w:val="0058596A"/>
    <w:rsid w:val="0058666D"/>
    <w:rsid w:val="0058767E"/>
    <w:rsid w:val="0058772A"/>
    <w:rsid w:val="00587816"/>
    <w:rsid w:val="00587B45"/>
    <w:rsid w:val="00591DDC"/>
    <w:rsid w:val="00592714"/>
    <w:rsid w:val="00593279"/>
    <w:rsid w:val="005937EE"/>
    <w:rsid w:val="005941BD"/>
    <w:rsid w:val="00594252"/>
    <w:rsid w:val="00596B0C"/>
    <w:rsid w:val="005A05BC"/>
    <w:rsid w:val="005A06FF"/>
    <w:rsid w:val="005A0FE8"/>
    <w:rsid w:val="005A1094"/>
    <w:rsid w:val="005A197C"/>
    <w:rsid w:val="005A2260"/>
    <w:rsid w:val="005A2792"/>
    <w:rsid w:val="005A3279"/>
    <w:rsid w:val="005A3AAA"/>
    <w:rsid w:val="005A491B"/>
    <w:rsid w:val="005A4B06"/>
    <w:rsid w:val="005A5DE3"/>
    <w:rsid w:val="005A60EB"/>
    <w:rsid w:val="005A63DA"/>
    <w:rsid w:val="005A6FEF"/>
    <w:rsid w:val="005A7C00"/>
    <w:rsid w:val="005B028D"/>
    <w:rsid w:val="005B02EC"/>
    <w:rsid w:val="005B1B9F"/>
    <w:rsid w:val="005B2770"/>
    <w:rsid w:val="005B3444"/>
    <w:rsid w:val="005B34DE"/>
    <w:rsid w:val="005B3DD5"/>
    <w:rsid w:val="005B4256"/>
    <w:rsid w:val="005B48D6"/>
    <w:rsid w:val="005B5153"/>
    <w:rsid w:val="005B5267"/>
    <w:rsid w:val="005B5541"/>
    <w:rsid w:val="005B5B35"/>
    <w:rsid w:val="005B6877"/>
    <w:rsid w:val="005B7D78"/>
    <w:rsid w:val="005C0B31"/>
    <w:rsid w:val="005C18E5"/>
    <w:rsid w:val="005C1C03"/>
    <w:rsid w:val="005C2E42"/>
    <w:rsid w:val="005C343D"/>
    <w:rsid w:val="005C382D"/>
    <w:rsid w:val="005C55D9"/>
    <w:rsid w:val="005C5657"/>
    <w:rsid w:val="005C5B38"/>
    <w:rsid w:val="005C601E"/>
    <w:rsid w:val="005C628A"/>
    <w:rsid w:val="005C641F"/>
    <w:rsid w:val="005C669E"/>
    <w:rsid w:val="005C7685"/>
    <w:rsid w:val="005C7D5D"/>
    <w:rsid w:val="005D0417"/>
    <w:rsid w:val="005D163E"/>
    <w:rsid w:val="005D1E97"/>
    <w:rsid w:val="005D26E2"/>
    <w:rsid w:val="005D308D"/>
    <w:rsid w:val="005D32A2"/>
    <w:rsid w:val="005D3455"/>
    <w:rsid w:val="005D5660"/>
    <w:rsid w:val="005D5784"/>
    <w:rsid w:val="005D5D8E"/>
    <w:rsid w:val="005D6192"/>
    <w:rsid w:val="005D6CD8"/>
    <w:rsid w:val="005D7533"/>
    <w:rsid w:val="005E062E"/>
    <w:rsid w:val="005E0B64"/>
    <w:rsid w:val="005E1324"/>
    <w:rsid w:val="005E1333"/>
    <w:rsid w:val="005E1358"/>
    <w:rsid w:val="005E2CAC"/>
    <w:rsid w:val="005E2E29"/>
    <w:rsid w:val="005E360B"/>
    <w:rsid w:val="005E4470"/>
    <w:rsid w:val="005E51A3"/>
    <w:rsid w:val="005E52E5"/>
    <w:rsid w:val="005E5E54"/>
    <w:rsid w:val="005E5F1E"/>
    <w:rsid w:val="005E603E"/>
    <w:rsid w:val="005E6446"/>
    <w:rsid w:val="005E68E1"/>
    <w:rsid w:val="005E6B21"/>
    <w:rsid w:val="005E7A6E"/>
    <w:rsid w:val="005E7B98"/>
    <w:rsid w:val="005F13CB"/>
    <w:rsid w:val="005F33FF"/>
    <w:rsid w:val="005F3A7E"/>
    <w:rsid w:val="005F3F08"/>
    <w:rsid w:val="005F42BB"/>
    <w:rsid w:val="005F49E5"/>
    <w:rsid w:val="005F4D64"/>
    <w:rsid w:val="005F5070"/>
    <w:rsid w:val="005F65EA"/>
    <w:rsid w:val="005F72A3"/>
    <w:rsid w:val="005F74A2"/>
    <w:rsid w:val="005F797A"/>
    <w:rsid w:val="005F7A49"/>
    <w:rsid w:val="0060044F"/>
    <w:rsid w:val="006010FC"/>
    <w:rsid w:val="00603242"/>
    <w:rsid w:val="00603AA9"/>
    <w:rsid w:val="00603FF7"/>
    <w:rsid w:val="00604744"/>
    <w:rsid w:val="0060630F"/>
    <w:rsid w:val="00606888"/>
    <w:rsid w:val="006074CD"/>
    <w:rsid w:val="00610326"/>
    <w:rsid w:val="00611741"/>
    <w:rsid w:val="00611C04"/>
    <w:rsid w:val="00611C98"/>
    <w:rsid w:val="00612392"/>
    <w:rsid w:val="00613471"/>
    <w:rsid w:val="006136A5"/>
    <w:rsid w:val="00613AD8"/>
    <w:rsid w:val="0061405F"/>
    <w:rsid w:val="00614EB3"/>
    <w:rsid w:val="00614FA7"/>
    <w:rsid w:val="00615E9E"/>
    <w:rsid w:val="00617246"/>
    <w:rsid w:val="00617650"/>
    <w:rsid w:val="00617D94"/>
    <w:rsid w:val="006206CB"/>
    <w:rsid w:val="00620ABC"/>
    <w:rsid w:val="0062120D"/>
    <w:rsid w:val="00621610"/>
    <w:rsid w:val="006216E7"/>
    <w:rsid w:val="0062227E"/>
    <w:rsid w:val="0062270B"/>
    <w:rsid w:val="00622913"/>
    <w:rsid w:val="00622B5C"/>
    <w:rsid w:val="00624D56"/>
    <w:rsid w:val="00624EE9"/>
    <w:rsid w:val="00624F4B"/>
    <w:rsid w:val="00625A3E"/>
    <w:rsid w:val="006263B9"/>
    <w:rsid w:val="00626564"/>
    <w:rsid w:val="00627225"/>
    <w:rsid w:val="00627E62"/>
    <w:rsid w:val="00627FE1"/>
    <w:rsid w:val="00630A8B"/>
    <w:rsid w:val="006316A3"/>
    <w:rsid w:val="0063178F"/>
    <w:rsid w:val="0063279F"/>
    <w:rsid w:val="00632A38"/>
    <w:rsid w:val="00633719"/>
    <w:rsid w:val="006338A4"/>
    <w:rsid w:val="00634363"/>
    <w:rsid w:val="00634D62"/>
    <w:rsid w:val="00635657"/>
    <w:rsid w:val="006357EC"/>
    <w:rsid w:val="00635B42"/>
    <w:rsid w:val="00635E6B"/>
    <w:rsid w:val="00635EFF"/>
    <w:rsid w:val="00635F09"/>
    <w:rsid w:val="00636660"/>
    <w:rsid w:val="0063668C"/>
    <w:rsid w:val="00636A88"/>
    <w:rsid w:val="00636B33"/>
    <w:rsid w:val="00636C4F"/>
    <w:rsid w:val="006379F1"/>
    <w:rsid w:val="00637AD3"/>
    <w:rsid w:val="006401D2"/>
    <w:rsid w:val="00640207"/>
    <w:rsid w:val="00640358"/>
    <w:rsid w:val="00640594"/>
    <w:rsid w:val="00642190"/>
    <w:rsid w:val="00642413"/>
    <w:rsid w:val="006424C1"/>
    <w:rsid w:val="00642623"/>
    <w:rsid w:val="00643764"/>
    <w:rsid w:val="006437D4"/>
    <w:rsid w:val="00643A83"/>
    <w:rsid w:val="00643AB3"/>
    <w:rsid w:val="00643D31"/>
    <w:rsid w:val="0064404A"/>
    <w:rsid w:val="006442D8"/>
    <w:rsid w:val="00645D49"/>
    <w:rsid w:val="00645E09"/>
    <w:rsid w:val="0064643E"/>
    <w:rsid w:val="00646D6C"/>
    <w:rsid w:val="00650CD9"/>
    <w:rsid w:val="00650FFE"/>
    <w:rsid w:val="00652053"/>
    <w:rsid w:val="00653742"/>
    <w:rsid w:val="006556A0"/>
    <w:rsid w:val="00655F37"/>
    <w:rsid w:val="00656F33"/>
    <w:rsid w:val="00657DBB"/>
    <w:rsid w:val="00657EF8"/>
    <w:rsid w:val="0066038B"/>
    <w:rsid w:val="00661678"/>
    <w:rsid w:val="006616C7"/>
    <w:rsid w:val="00661AB7"/>
    <w:rsid w:val="00661D8B"/>
    <w:rsid w:val="00662C00"/>
    <w:rsid w:val="00662FCE"/>
    <w:rsid w:val="00664257"/>
    <w:rsid w:val="006646E2"/>
    <w:rsid w:val="00664915"/>
    <w:rsid w:val="00664F49"/>
    <w:rsid w:val="00665DED"/>
    <w:rsid w:val="0066608B"/>
    <w:rsid w:val="006666AE"/>
    <w:rsid w:val="0066677F"/>
    <w:rsid w:val="00667C0A"/>
    <w:rsid w:val="006702DC"/>
    <w:rsid w:val="00670BE6"/>
    <w:rsid w:val="00670D6E"/>
    <w:rsid w:val="0067192B"/>
    <w:rsid w:val="00671F2B"/>
    <w:rsid w:val="006722D9"/>
    <w:rsid w:val="006725EE"/>
    <w:rsid w:val="006726BD"/>
    <w:rsid w:val="00673229"/>
    <w:rsid w:val="006732E1"/>
    <w:rsid w:val="00673576"/>
    <w:rsid w:val="0067361A"/>
    <w:rsid w:val="006736F2"/>
    <w:rsid w:val="006754C8"/>
    <w:rsid w:val="00676680"/>
    <w:rsid w:val="0067696E"/>
    <w:rsid w:val="00676A44"/>
    <w:rsid w:val="0067724E"/>
    <w:rsid w:val="006777C4"/>
    <w:rsid w:val="0068171B"/>
    <w:rsid w:val="00681D41"/>
    <w:rsid w:val="006822BA"/>
    <w:rsid w:val="00682444"/>
    <w:rsid w:val="00682735"/>
    <w:rsid w:val="00682D1D"/>
    <w:rsid w:val="00683129"/>
    <w:rsid w:val="006835A8"/>
    <w:rsid w:val="00683966"/>
    <w:rsid w:val="00684065"/>
    <w:rsid w:val="006849A0"/>
    <w:rsid w:val="0068564A"/>
    <w:rsid w:val="00685E66"/>
    <w:rsid w:val="006868A6"/>
    <w:rsid w:val="00687051"/>
    <w:rsid w:val="00687980"/>
    <w:rsid w:val="00687B15"/>
    <w:rsid w:val="0069089A"/>
    <w:rsid w:val="00690D0F"/>
    <w:rsid w:val="00692DD5"/>
    <w:rsid w:val="00693565"/>
    <w:rsid w:val="00693C22"/>
    <w:rsid w:val="00693C80"/>
    <w:rsid w:val="00693D65"/>
    <w:rsid w:val="00694C10"/>
    <w:rsid w:val="0069584B"/>
    <w:rsid w:val="00696DE4"/>
    <w:rsid w:val="006970BE"/>
    <w:rsid w:val="006A0083"/>
    <w:rsid w:val="006A1465"/>
    <w:rsid w:val="006A20D8"/>
    <w:rsid w:val="006A24AF"/>
    <w:rsid w:val="006A2718"/>
    <w:rsid w:val="006A2944"/>
    <w:rsid w:val="006A324C"/>
    <w:rsid w:val="006A3C27"/>
    <w:rsid w:val="006A69AF"/>
    <w:rsid w:val="006A6B2E"/>
    <w:rsid w:val="006A758C"/>
    <w:rsid w:val="006A78CE"/>
    <w:rsid w:val="006B0174"/>
    <w:rsid w:val="006B0FC5"/>
    <w:rsid w:val="006B15C7"/>
    <w:rsid w:val="006B17E4"/>
    <w:rsid w:val="006B1B90"/>
    <w:rsid w:val="006B2034"/>
    <w:rsid w:val="006B2A15"/>
    <w:rsid w:val="006B2F97"/>
    <w:rsid w:val="006B3013"/>
    <w:rsid w:val="006B38F3"/>
    <w:rsid w:val="006B39FC"/>
    <w:rsid w:val="006B3A9E"/>
    <w:rsid w:val="006B3DC4"/>
    <w:rsid w:val="006B41A5"/>
    <w:rsid w:val="006B44D1"/>
    <w:rsid w:val="006B4609"/>
    <w:rsid w:val="006B538D"/>
    <w:rsid w:val="006B5529"/>
    <w:rsid w:val="006B563C"/>
    <w:rsid w:val="006B56D7"/>
    <w:rsid w:val="006B5973"/>
    <w:rsid w:val="006B6E1C"/>
    <w:rsid w:val="006B7069"/>
    <w:rsid w:val="006B7B2B"/>
    <w:rsid w:val="006B7EC7"/>
    <w:rsid w:val="006C0292"/>
    <w:rsid w:val="006C091D"/>
    <w:rsid w:val="006C0DB8"/>
    <w:rsid w:val="006C0EE9"/>
    <w:rsid w:val="006C1053"/>
    <w:rsid w:val="006C111F"/>
    <w:rsid w:val="006C1D08"/>
    <w:rsid w:val="006C25ED"/>
    <w:rsid w:val="006C2A41"/>
    <w:rsid w:val="006C2D0E"/>
    <w:rsid w:val="006C2E75"/>
    <w:rsid w:val="006C3592"/>
    <w:rsid w:val="006C643F"/>
    <w:rsid w:val="006C684A"/>
    <w:rsid w:val="006C7325"/>
    <w:rsid w:val="006C7A8F"/>
    <w:rsid w:val="006D120C"/>
    <w:rsid w:val="006D13DD"/>
    <w:rsid w:val="006D1671"/>
    <w:rsid w:val="006D2908"/>
    <w:rsid w:val="006D31C4"/>
    <w:rsid w:val="006D4A54"/>
    <w:rsid w:val="006D5370"/>
    <w:rsid w:val="006D5721"/>
    <w:rsid w:val="006D69EF"/>
    <w:rsid w:val="006D6FF7"/>
    <w:rsid w:val="006D7E14"/>
    <w:rsid w:val="006E06B3"/>
    <w:rsid w:val="006E09EC"/>
    <w:rsid w:val="006E0E7A"/>
    <w:rsid w:val="006E11A8"/>
    <w:rsid w:val="006E2A8B"/>
    <w:rsid w:val="006E2B09"/>
    <w:rsid w:val="006E3A5F"/>
    <w:rsid w:val="006E3E8A"/>
    <w:rsid w:val="006E3F54"/>
    <w:rsid w:val="006E4C7F"/>
    <w:rsid w:val="006E522A"/>
    <w:rsid w:val="006E57D4"/>
    <w:rsid w:val="006E6B7D"/>
    <w:rsid w:val="006E743C"/>
    <w:rsid w:val="006E7D4F"/>
    <w:rsid w:val="006F0287"/>
    <w:rsid w:val="006F0DA1"/>
    <w:rsid w:val="006F136E"/>
    <w:rsid w:val="006F152E"/>
    <w:rsid w:val="006F18CD"/>
    <w:rsid w:val="006F1D98"/>
    <w:rsid w:val="006F2656"/>
    <w:rsid w:val="006F47E3"/>
    <w:rsid w:val="006F4A9A"/>
    <w:rsid w:val="006F527A"/>
    <w:rsid w:val="006F5F38"/>
    <w:rsid w:val="006F6412"/>
    <w:rsid w:val="006F6B16"/>
    <w:rsid w:val="006F6DAD"/>
    <w:rsid w:val="006F776D"/>
    <w:rsid w:val="006F7B81"/>
    <w:rsid w:val="007005D6"/>
    <w:rsid w:val="00700916"/>
    <w:rsid w:val="0070112A"/>
    <w:rsid w:val="00702182"/>
    <w:rsid w:val="00703C1E"/>
    <w:rsid w:val="00703DFA"/>
    <w:rsid w:val="00704197"/>
    <w:rsid w:val="00704AC2"/>
    <w:rsid w:val="0070544C"/>
    <w:rsid w:val="0070561A"/>
    <w:rsid w:val="00705E90"/>
    <w:rsid w:val="0070628A"/>
    <w:rsid w:val="007064EA"/>
    <w:rsid w:val="00707CFB"/>
    <w:rsid w:val="00707FA6"/>
    <w:rsid w:val="00710241"/>
    <w:rsid w:val="007106F7"/>
    <w:rsid w:val="0071140B"/>
    <w:rsid w:val="007114FC"/>
    <w:rsid w:val="007120E7"/>
    <w:rsid w:val="007123C6"/>
    <w:rsid w:val="00712FCF"/>
    <w:rsid w:val="007138FA"/>
    <w:rsid w:val="00713DE4"/>
    <w:rsid w:val="00715A91"/>
    <w:rsid w:val="00716958"/>
    <w:rsid w:val="007179F8"/>
    <w:rsid w:val="0072146F"/>
    <w:rsid w:val="007214AE"/>
    <w:rsid w:val="00721D8E"/>
    <w:rsid w:val="00721FF9"/>
    <w:rsid w:val="00722839"/>
    <w:rsid w:val="00725366"/>
    <w:rsid w:val="00725462"/>
    <w:rsid w:val="007254D2"/>
    <w:rsid w:val="00726EDB"/>
    <w:rsid w:val="007270B0"/>
    <w:rsid w:val="00730D00"/>
    <w:rsid w:val="0073102B"/>
    <w:rsid w:val="007315CD"/>
    <w:rsid w:val="00731927"/>
    <w:rsid w:val="00731952"/>
    <w:rsid w:val="00731C03"/>
    <w:rsid w:val="00732491"/>
    <w:rsid w:val="00733E40"/>
    <w:rsid w:val="00736554"/>
    <w:rsid w:val="00736A22"/>
    <w:rsid w:val="007404ED"/>
    <w:rsid w:val="007406EC"/>
    <w:rsid w:val="00740793"/>
    <w:rsid w:val="00741697"/>
    <w:rsid w:val="00742859"/>
    <w:rsid w:val="0074488D"/>
    <w:rsid w:val="0074629F"/>
    <w:rsid w:val="00746A7A"/>
    <w:rsid w:val="00747408"/>
    <w:rsid w:val="007503E9"/>
    <w:rsid w:val="00750758"/>
    <w:rsid w:val="007527EF"/>
    <w:rsid w:val="00752B51"/>
    <w:rsid w:val="00752B6E"/>
    <w:rsid w:val="007538FF"/>
    <w:rsid w:val="00754261"/>
    <w:rsid w:val="007550FC"/>
    <w:rsid w:val="007557A6"/>
    <w:rsid w:val="00755E0B"/>
    <w:rsid w:val="00757048"/>
    <w:rsid w:val="007576E7"/>
    <w:rsid w:val="00757A33"/>
    <w:rsid w:val="0076044D"/>
    <w:rsid w:val="007621A0"/>
    <w:rsid w:val="00762CC8"/>
    <w:rsid w:val="00764908"/>
    <w:rsid w:val="00764A50"/>
    <w:rsid w:val="00764DDE"/>
    <w:rsid w:val="00766AC4"/>
    <w:rsid w:val="00767F6D"/>
    <w:rsid w:val="00770402"/>
    <w:rsid w:val="00770836"/>
    <w:rsid w:val="00770A14"/>
    <w:rsid w:val="00773FAF"/>
    <w:rsid w:val="0077404B"/>
    <w:rsid w:val="00776C85"/>
    <w:rsid w:val="00776D3C"/>
    <w:rsid w:val="00776F88"/>
    <w:rsid w:val="007777D1"/>
    <w:rsid w:val="00780286"/>
    <w:rsid w:val="00781D90"/>
    <w:rsid w:val="00782144"/>
    <w:rsid w:val="00782EDB"/>
    <w:rsid w:val="00783577"/>
    <w:rsid w:val="007847A8"/>
    <w:rsid w:val="007850C1"/>
    <w:rsid w:val="0078519E"/>
    <w:rsid w:val="007857C0"/>
    <w:rsid w:val="00786276"/>
    <w:rsid w:val="007866ED"/>
    <w:rsid w:val="00787118"/>
    <w:rsid w:val="00787F6A"/>
    <w:rsid w:val="0079052C"/>
    <w:rsid w:val="00791851"/>
    <w:rsid w:val="007919FA"/>
    <w:rsid w:val="00792867"/>
    <w:rsid w:val="007928A1"/>
    <w:rsid w:val="00792BF3"/>
    <w:rsid w:val="00792F40"/>
    <w:rsid w:val="00793A0F"/>
    <w:rsid w:val="00795846"/>
    <w:rsid w:val="00795DBA"/>
    <w:rsid w:val="00796118"/>
    <w:rsid w:val="00796F92"/>
    <w:rsid w:val="007A1013"/>
    <w:rsid w:val="007A1187"/>
    <w:rsid w:val="007A18BF"/>
    <w:rsid w:val="007A24A6"/>
    <w:rsid w:val="007A269E"/>
    <w:rsid w:val="007A26A4"/>
    <w:rsid w:val="007A3475"/>
    <w:rsid w:val="007A3B45"/>
    <w:rsid w:val="007A3F17"/>
    <w:rsid w:val="007A58BE"/>
    <w:rsid w:val="007A6B7E"/>
    <w:rsid w:val="007A72D2"/>
    <w:rsid w:val="007B0E67"/>
    <w:rsid w:val="007B19EC"/>
    <w:rsid w:val="007B1BCD"/>
    <w:rsid w:val="007B2321"/>
    <w:rsid w:val="007B273E"/>
    <w:rsid w:val="007B29E9"/>
    <w:rsid w:val="007B2C6D"/>
    <w:rsid w:val="007B3B3F"/>
    <w:rsid w:val="007B4896"/>
    <w:rsid w:val="007B48A4"/>
    <w:rsid w:val="007B4E6B"/>
    <w:rsid w:val="007B567E"/>
    <w:rsid w:val="007B57DD"/>
    <w:rsid w:val="007B6232"/>
    <w:rsid w:val="007B6931"/>
    <w:rsid w:val="007B75CE"/>
    <w:rsid w:val="007B7670"/>
    <w:rsid w:val="007C05E5"/>
    <w:rsid w:val="007C0E58"/>
    <w:rsid w:val="007C0E7D"/>
    <w:rsid w:val="007C1B8A"/>
    <w:rsid w:val="007C2027"/>
    <w:rsid w:val="007C42BE"/>
    <w:rsid w:val="007C49AA"/>
    <w:rsid w:val="007C51EA"/>
    <w:rsid w:val="007C5429"/>
    <w:rsid w:val="007C7028"/>
    <w:rsid w:val="007C7457"/>
    <w:rsid w:val="007D00AF"/>
    <w:rsid w:val="007D0B39"/>
    <w:rsid w:val="007D1B7B"/>
    <w:rsid w:val="007D1EA9"/>
    <w:rsid w:val="007D1F27"/>
    <w:rsid w:val="007D22D5"/>
    <w:rsid w:val="007D2324"/>
    <w:rsid w:val="007D2E9F"/>
    <w:rsid w:val="007D343D"/>
    <w:rsid w:val="007D392F"/>
    <w:rsid w:val="007D3E24"/>
    <w:rsid w:val="007D3F2D"/>
    <w:rsid w:val="007D3FF4"/>
    <w:rsid w:val="007D433A"/>
    <w:rsid w:val="007D43FC"/>
    <w:rsid w:val="007D457C"/>
    <w:rsid w:val="007D4C25"/>
    <w:rsid w:val="007D502F"/>
    <w:rsid w:val="007D564D"/>
    <w:rsid w:val="007D6A9F"/>
    <w:rsid w:val="007E066D"/>
    <w:rsid w:val="007E0B4C"/>
    <w:rsid w:val="007E0BB0"/>
    <w:rsid w:val="007E1312"/>
    <w:rsid w:val="007E1D49"/>
    <w:rsid w:val="007E2428"/>
    <w:rsid w:val="007E2FA3"/>
    <w:rsid w:val="007E31D1"/>
    <w:rsid w:val="007E3AA6"/>
    <w:rsid w:val="007E3B95"/>
    <w:rsid w:val="007E48D7"/>
    <w:rsid w:val="007E4FBF"/>
    <w:rsid w:val="007E575D"/>
    <w:rsid w:val="007E5832"/>
    <w:rsid w:val="007E5AF2"/>
    <w:rsid w:val="007E6633"/>
    <w:rsid w:val="007E663E"/>
    <w:rsid w:val="007F04B2"/>
    <w:rsid w:val="007F0913"/>
    <w:rsid w:val="007F0BBC"/>
    <w:rsid w:val="007F1792"/>
    <w:rsid w:val="007F1A5E"/>
    <w:rsid w:val="007F2475"/>
    <w:rsid w:val="007F3C8C"/>
    <w:rsid w:val="007F40EF"/>
    <w:rsid w:val="007F436D"/>
    <w:rsid w:val="007F46B1"/>
    <w:rsid w:val="007F4ABE"/>
    <w:rsid w:val="007F4FF0"/>
    <w:rsid w:val="007F5142"/>
    <w:rsid w:val="007F52C1"/>
    <w:rsid w:val="007F5455"/>
    <w:rsid w:val="007F7109"/>
    <w:rsid w:val="007F72BC"/>
    <w:rsid w:val="00801EE3"/>
    <w:rsid w:val="00802A5C"/>
    <w:rsid w:val="008035DB"/>
    <w:rsid w:val="00805576"/>
    <w:rsid w:val="00806075"/>
    <w:rsid w:val="00806804"/>
    <w:rsid w:val="00807511"/>
    <w:rsid w:val="00807A6D"/>
    <w:rsid w:val="00807FEF"/>
    <w:rsid w:val="00810209"/>
    <w:rsid w:val="00810EAC"/>
    <w:rsid w:val="0081118F"/>
    <w:rsid w:val="00811E4B"/>
    <w:rsid w:val="00812A3C"/>
    <w:rsid w:val="008134C2"/>
    <w:rsid w:val="00814892"/>
    <w:rsid w:val="008156F5"/>
    <w:rsid w:val="00815B15"/>
    <w:rsid w:val="008168BC"/>
    <w:rsid w:val="00816C34"/>
    <w:rsid w:val="008170D7"/>
    <w:rsid w:val="00820A93"/>
    <w:rsid w:val="00820AD7"/>
    <w:rsid w:val="00821D47"/>
    <w:rsid w:val="0082218E"/>
    <w:rsid w:val="00822926"/>
    <w:rsid w:val="00823F08"/>
    <w:rsid w:val="00824A9A"/>
    <w:rsid w:val="00824FA3"/>
    <w:rsid w:val="008254A6"/>
    <w:rsid w:val="008278F8"/>
    <w:rsid w:val="0083136B"/>
    <w:rsid w:val="0083155A"/>
    <w:rsid w:val="008317EA"/>
    <w:rsid w:val="00832AA6"/>
    <w:rsid w:val="00832D72"/>
    <w:rsid w:val="00833B2B"/>
    <w:rsid w:val="00833EDD"/>
    <w:rsid w:val="008342A9"/>
    <w:rsid w:val="00836C86"/>
    <w:rsid w:val="00837702"/>
    <w:rsid w:val="00837E0B"/>
    <w:rsid w:val="008406B2"/>
    <w:rsid w:val="0084202E"/>
    <w:rsid w:val="008432CF"/>
    <w:rsid w:val="0084352E"/>
    <w:rsid w:val="00843A62"/>
    <w:rsid w:val="0084481F"/>
    <w:rsid w:val="00844F1D"/>
    <w:rsid w:val="00845D19"/>
    <w:rsid w:val="00846AA2"/>
    <w:rsid w:val="00847026"/>
    <w:rsid w:val="008471F5"/>
    <w:rsid w:val="0084791E"/>
    <w:rsid w:val="00847F64"/>
    <w:rsid w:val="00850346"/>
    <w:rsid w:val="00850A93"/>
    <w:rsid w:val="00850A99"/>
    <w:rsid w:val="00851928"/>
    <w:rsid w:val="00851E46"/>
    <w:rsid w:val="00851E82"/>
    <w:rsid w:val="008527F2"/>
    <w:rsid w:val="0085315A"/>
    <w:rsid w:val="00854A10"/>
    <w:rsid w:val="008553CC"/>
    <w:rsid w:val="00855A9C"/>
    <w:rsid w:val="00857F8A"/>
    <w:rsid w:val="00860174"/>
    <w:rsid w:val="008608C4"/>
    <w:rsid w:val="008610B7"/>
    <w:rsid w:val="0086172E"/>
    <w:rsid w:val="00861DB6"/>
    <w:rsid w:val="008622A4"/>
    <w:rsid w:val="008630FD"/>
    <w:rsid w:val="008636F4"/>
    <w:rsid w:val="00864360"/>
    <w:rsid w:val="008649AD"/>
    <w:rsid w:val="00864A61"/>
    <w:rsid w:val="00864ED3"/>
    <w:rsid w:val="00865020"/>
    <w:rsid w:val="00866744"/>
    <w:rsid w:val="00866E51"/>
    <w:rsid w:val="00867A8C"/>
    <w:rsid w:val="00871639"/>
    <w:rsid w:val="008718FF"/>
    <w:rsid w:val="00871B8B"/>
    <w:rsid w:val="00872F8B"/>
    <w:rsid w:val="00873183"/>
    <w:rsid w:val="00873560"/>
    <w:rsid w:val="00873D0D"/>
    <w:rsid w:val="0087424D"/>
    <w:rsid w:val="008748D0"/>
    <w:rsid w:val="00874D8F"/>
    <w:rsid w:val="00875C0B"/>
    <w:rsid w:val="00880219"/>
    <w:rsid w:val="00882045"/>
    <w:rsid w:val="008822BC"/>
    <w:rsid w:val="008824C9"/>
    <w:rsid w:val="00882735"/>
    <w:rsid w:val="008831FE"/>
    <w:rsid w:val="008839DC"/>
    <w:rsid w:val="00883F7B"/>
    <w:rsid w:val="00884260"/>
    <w:rsid w:val="008847A3"/>
    <w:rsid w:val="0088480E"/>
    <w:rsid w:val="008850D1"/>
    <w:rsid w:val="00885107"/>
    <w:rsid w:val="00885162"/>
    <w:rsid w:val="00885CED"/>
    <w:rsid w:val="00885ECE"/>
    <w:rsid w:val="0088603D"/>
    <w:rsid w:val="00886B0F"/>
    <w:rsid w:val="00886EA2"/>
    <w:rsid w:val="00886EC9"/>
    <w:rsid w:val="0088711A"/>
    <w:rsid w:val="00887EBF"/>
    <w:rsid w:val="008902B9"/>
    <w:rsid w:val="00891213"/>
    <w:rsid w:val="008918EE"/>
    <w:rsid w:val="00892081"/>
    <w:rsid w:val="008932BF"/>
    <w:rsid w:val="008932EE"/>
    <w:rsid w:val="00894D2B"/>
    <w:rsid w:val="00896EC5"/>
    <w:rsid w:val="008A02F4"/>
    <w:rsid w:val="008A13DA"/>
    <w:rsid w:val="008A35C4"/>
    <w:rsid w:val="008A36A4"/>
    <w:rsid w:val="008A3743"/>
    <w:rsid w:val="008A3EF2"/>
    <w:rsid w:val="008A4F6A"/>
    <w:rsid w:val="008A5B26"/>
    <w:rsid w:val="008A730C"/>
    <w:rsid w:val="008A7A0D"/>
    <w:rsid w:val="008A7B69"/>
    <w:rsid w:val="008B0028"/>
    <w:rsid w:val="008B086E"/>
    <w:rsid w:val="008B1EA1"/>
    <w:rsid w:val="008B2224"/>
    <w:rsid w:val="008B2EB9"/>
    <w:rsid w:val="008B3D59"/>
    <w:rsid w:val="008B4436"/>
    <w:rsid w:val="008B5A1B"/>
    <w:rsid w:val="008B5BD5"/>
    <w:rsid w:val="008B783F"/>
    <w:rsid w:val="008C00FD"/>
    <w:rsid w:val="008C0638"/>
    <w:rsid w:val="008C0FA1"/>
    <w:rsid w:val="008C1A6D"/>
    <w:rsid w:val="008C1CA0"/>
    <w:rsid w:val="008C259B"/>
    <w:rsid w:val="008C2BB2"/>
    <w:rsid w:val="008C4BEF"/>
    <w:rsid w:val="008C4DAB"/>
    <w:rsid w:val="008C4F62"/>
    <w:rsid w:val="008C54EB"/>
    <w:rsid w:val="008C6052"/>
    <w:rsid w:val="008C624B"/>
    <w:rsid w:val="008C77B0"/>
    <w:rsid w:val="008C77FB"/>
    <w:rsid w:val="008C7A5F"/>
    <w:rsid w:val="008C7E8A"/>
    <w:rsid w:val="008D085B"/>
    <w:rsid w:val="008D0B26"/>
    <w:rsid w:val="008D0F11"/>
    <w:rsid w:val="008D1182"/>
    <w:rsid w:val="008D170D"/>
    <w:rsid w:val="008D176A"/>
    <w:rsid w:val="008D1DEC"/>
    <w:rsid w:val="008D2B4A"/>
    <w:rsid w:val="008D2BBF"/>
    <w:rsid w:val="008D2E27"/>
    <w:rsid w:val="008D30EA"/>
    <w:rsid w:val="008D4624"/>
    <w:rsid w:val="008D5049"/>
    <w:rsid w:val="008D5397"/>
    <w:rsid w:val="008D56DE"/>
    <w:rsid w:val="008D5EA8"/>
    <w:rsid w:val="008D5F91"/>
    <w:rsid w:val="008D6AA7"/>
    <w:rsid w:val="008D6CD2"/>
    <w:rsid w:val="008D6F5E"/>
    <w:rsid w:val="008D7198"/>
    <w:rsid w:val="008D769D"/>
    <w:rsid w:val="008E045F"/>
    <w:rsid w:val="008E07C9"/>
    <w:rsid w:val="008E1287"/>
    <w:rsid w:val="008E15AE"/>
    <w:rsid w:val="008E1711"/>
    <w:rsid w:val="008E18E2"/>
    <w:rsid w:val="008E19DA"/>
    <w:rsid w:val="008E3096"/>
    <w:rsid w:val="008E3780"/>
    <w:rsid w:val="008E3C20"/>
    <w:rsid w:val="008E4421"/>
    <w:rsid w:val="008E50DB"/>
    <w:rsid w:val="008E5D9D"/>
    <w:rsid w:val="008E6092"/>
    <w:rsid w:val="008E62A5"/>
    <w:rsid w:val="008E7001"/>
    <w:rsid w:val="008E73F3"/>
    <w:rsid w:val="008F000A"/>
    <w:rsid w:val="008F05F1"/>
    <w:rsid w:val="008F07AD"/>
    <w:rsid w:val="008F07E5"/>
    <w:rsid w:val="008F0FA9"/>
    <w:rsid w:val="008F1C27"/>
    <w:rsid w:val="008F2FE0"/>
    <w:rsid w:val="008F3CDF"/>
    <w:rsid w:val="008F4DEC"/>
    <w:rsid w:val="008F529E"/>
    <w:rsid w:val="008F5E29"/>
    <w:rsid w:val="008F6DA5"/>
    <w:rsid w:val="008F6E59"/>
    <w:rsid w:val="008F7702"/>
    <w:rsid w:val="008F7757"/>
    <w:rsid w:val="008F7B61"/>
    <w:rsid w:val="00900A3F"/>
    <w:rsid w:val="009010B7"/>
    <w:rsid w:val="00902C73"/>
    <w:rsid w:val="0090385F"/>
    <w:rsid w:val="00903D17"/>
    <w:rsid w:val="00903D34"/>
    <w:rsid w:val="00904F1D"/>
    <w:rsid w:val="00905C2C"/>
    <w:rsid w:val="00905EB9"/>
    <w:rsid w:val="00906079"/>
    <w:rsid w:val="009062D5"/>
    <w:rsid w:val="00911201"/>
    <w:rsid w:val="009115C2"/>
    <w:rsid w:val="00912C6F"/>
    <w:rsid w:val="00912DEF"/>
    <w:rsid w:val="00914A9A"/>
    <w:rsid w:val="009154A9"/>
    <w:rsid w:val="009154FD"/>
    <w:rsid w:val="0091577C"/>
    <w:rsid w:val="009160A3"/>
    <w:rsid w:val="00916393"/>
    <w:rsid w:val="00916483"/>
    <w:rsid w:val="00916746"/>
    <w:rsid w:val="0091721C"/>
    <w:rsid w:val="009225E1"/>
    <w:rsid w:val="0092320F"/>
    <w:rsid w:val="0092412F"/>
    <w:rsid w:val="00925110"/>
    <w:rsid w:val="009251CD"/>
    <w:rsid w:val="0092573F"/>
    <w:rsid w:val="009261AC"/>
    <w:rsid w:val="009268E8"/>
    <w:rsid w:val="00927CBF"/>
    <w:rsid w:val="00930369"/>
    <w:rsid w:val="00930AC2"/>
    <w:rsid w:val="00930F1B"/>
    <w:rsid w:val="00932141"/>
    <w:rsid w:val="00932A82"/>
    <w:rsid w:val="00932EC3"/>
    <w:rsid w:val="009332DC"/>
    <w:rsid w:val="00933304"/>
    <w:rsid w:val="009339F5"/>
    <w:rsid w:val="009344C0"/>
    <w:rsid w:val="009348C3"/>
    <w:rsid w:val="00934A81"/>
    <w:rsid w:val="00935D1F"/>
    <w:rsid w:val="00936771"/>
    <w:rsid w:val="00936AAB"/>
    <w:rsid w:val="00937416"/>
    <w:rsid w:val="0093788A"/>
    <w:rsid w:val="009379AB"/>
    <w:rsid w:val="00937B7E"/>
    <w:rsid w:val="00937FB7"/>
    <w:rsid w:val="009404ED"/>
    <w:rsid w:val="0094190D"/>
    <w:rsid w:val="0094197F"/>
    <w:rsid w:val="009420AA"/>
    <w:rsid w:val="0094259E"/>
    <w:rsid w:val="009427C3"/>
    <w:rsid w:val="0094340A"/>
    <w:rsid w:val="00943439"/>
    <w:rsid w:val="009434AC"/>
    <w:rsid w:val="009440AD"/>
    <w:rsid w:val="009450E1"/>
    <w:rsid w:val="009458DF"/>
    <w:rsid w:val="0094702E"/>
    <w:rsid w:val="009473F2"/>
    <w:rsid w:val="00947577"/>
    <w:rsid w:val="009475E8"/>
    <w:rsid w:val="00947B15"/>
    <w:rsid w:val="00947D44"/>
    <w:rsid w:val="009505DC"/>
    <w:rsid w:val="00951281"/>
    <w:rsid w:val="00951651"/>
    <w:rsid w:val="00951FD9"/>
    <w:rsid w:val="0095233F"/>
    <w:rsid w:val="009538B3"/>
    <w:rsid w:val="0095401E"/>
    <w:rsid w:val="00954C32"/>
    <w:rsid w:val="009552F2"/>
    <w:rsid w:val="00956797"/>
    <w:rsid w:val="00956EB8"/>
    <w:rsid w:val="00957277"/>
    <w:rsid w:val="0095744A"/>
    <w:rsid w:val="0096010B"/>
    <w:rsid w:val="00960D3A"/>
    <w:rsid w:val="00961072"/>
    <w:rsid w:val="0096126F"/>
    <w:rsid w:val="00961E8B"/>
    <w:rsid w:val="009640A8"/>
    <w:rsid w:val="009648E6"/>
    <w:rsid w:val="0096502F"/>
    <w:rsid w:val="00965803"/>
    <w:rsid w:val="0096610E"/>
    <w:rsid w:val="00967095"/>
    <w:rsid w:val="00967301"/>
    <w:rsid w:val="009678EF"/>
    <w:rsid w:val="00967C61"/>
    <w:rsid w:val="00967F14"/>
    <w:rsid w:val="00970FA3"/>
    <w:rsid w:val="0097168F"/>
    <w:rsid w:val="00971BBA"/>
    <w:rsid w:val="009722D8"/>
    <w:rsid w:val="00972AF0"/>
    <w:rsid w:val="0097395B"/>
    <w:rsid w:val="00974DF8"/>
    <w:rsid w:val="009755D9"/>
    <w:rsid w:val="00975CAD"/>
    <w:rsid w:val="00975ECE"/>
    <w:rsid w:val="00976C22"/>
    <w:rsid w:val="00976D97"/>
    <w:rsid w:val="00977045"/>
    <w:rsid w:val="0097707E"/>
    <w:rsid w:val="00977D6F"/>
    <w:rsid w:val="009800FE"/>
    <w:rsid w:val="0098130A"/>
    <w:rsid w:val="0098151A"/>
    <w:rsid w:val="00982377"/>
    <w:rsid w:val="0098266C"/>
    <w:rsid w:val="00982E40"/>
    <w:rsid w:val="009835A8"/>
    <w:rsid w:val="00983A2E"/>
    <w:rsid w:val="00984685"/>
    <w:rsid w:val="00984693"/>
    <w:rsid w:val="00984740"/>
    <w:rsid w:val="00984E00"/>
    <w:rsid w:val="00984EDC"/>
    <w:rsid w:val="00985081"/>
    <w:rsid w:val="009851D5"/>
    <w:rsid w:val="00985B06"/>
    <w:rsid w:val="009863B3"/>
    <w:rsid w:val="00986B52"/>
    <w:rsid w:val="009874E6"/>
    <w:rsid w:val="009915EB"/>
    <w:rsid w:val="009916D6"/>
    <w:rsid w:val="0099174B"/>
    <w:rsid w:val="00991E93"/>
    <w:rsid w:val="009921DB"/>
    <w:rsid w:val="00992C9A"/>
    <w:rsid w:val="00992CE8"/>
    <w:rsid w:val="00992EC1"/>
    <w:rsid w:val="00993ECD"/>
    <w:rsid w:val="009940C7"/>
    <w:rsid w:val="0099426E"/>
    <w:rsid w:val="0099455C"/>
    <w:rsid w:val="009964A2"/>
    <w:rsid w:val="00996D01"/>
    <w:rsid w:val="00997031"/>
    <w:rsid w:val="00997297"/>
    <w:rsid w:val="00997CD4"/>
    <w:rsid w:val="009A023E"/>
    <w:rsid w:val="009A04E2"/>
    <w:rsid w:val="009A08F0"/>
    <w:rsid w:val="009A0B10"/>
    <w:rsid w:val="009A12A1"/>
    <w:rsid w:val="009A1604"/>
    <w:rsid w:val="009A18C4"/>
    <w:rsid w:val="009A59B8"/>
    <w:rsid w:val="009A5B67"/>
    <w:rsid w:val="009A678B"/>
    <w:rsid w:val="009A7F9E"/>
    <w:rsid w:val="009B0200"/>
    <w:rsid w:val="009B09AA"/>
    <w:rsid w:val="009B1494"/>
    <w:rsid w:val="009B19E6"/>
    <w:rsid w:val="009B20D9"/>
    <w:rsid w:val="009B263A"/>
    <w:rsid w:val="009B37F2"/>
    <w:rsid w:val="009B4472"/>
    <w:rsid w:val="009B4744"/>
    <w:rsid w:val="009B5456"/>
    <w:rsid w:val="009B65ED"/>
    <w:rsid w:val="009B6644"/>
    <w:rsid w:val="009B6E9F"/>
    <w:rsid w:val="009B73FF"/>
    <w:rsid w:val="009C11FD"/>
    <w:rsid w:val="009C143F"/>
    <w:rsid w:val="009C17A6"/>
    <w:rsid w:val="009C1C23"/>
    <w:rsid w:val="009C2425"/>
    <w:rsid w:val="009C2AA2"/>
    <w:rsid w:val="009C2C28"/>
    <w:rsid w:val="009C2CF2"/>
    <w:rsid w:val="009C2ED6"/>
    <w:rsid w:val="009C5681"/>
    <w:rsid w:val="009C5E98"/>
    <w:rsid w:val="009C6F35"/>
    <w:rsid w:val="009D0244"/>
    <w:rsid w:val="009D0385"/>
    <w:rsid w:val="009D07F8"/>
    <w:rsid w:val="009D0E07"/>
    <w:rsid w:val="009D1825"/>
    <w:rsid w:val="009D3B94"/>
    <w:rsid w:val="009D426E"/>
    <w:rsid w:val="009D47E5"/>
    <w:rsid w:val="009D4B5D"/>
    <w:rsid w:val="009D4E7B"/>
    <w:rsid w:val="009D5180"/>
    <w:rsid w:val="009D6510"/>
    <w:rsid w:val="009D6C44"/>
    <w:rsid w:val="009D7461"/>
    <w:rsid w:val="009E057D"/>
    <w:rsid w:val="009E0667"/>
    <w:rsid w:val="009E0976"/>
    <w:rsid w:val="009E14F1"/>
    <w:rsid w:val="009E26DA"/>
    <w:rsid w:val="009E2CF1"/>
    <w:rsid w:val="009E3429"/>
    <w:rsid w:val="009E3CDC"/>
    <w:rsid w:val="009E5644"/>
    <w:rsid w:val="009E5D04"/>
    <w:rsid w:val="009E60ED"/>
    <w:rsid w:val="009E6824"/>
    <w:rsid w:val="009E7C1E"/>
    <w:rsid w:val="009E7C84"/>
    <w:rsid w:val="009F0025"/>
    <w:rsid w:val="009F0C4F"/>
    <w:rsid w:val="009F0C70"/>
    <w:rsid w:val="009F10F9"/>
    <w:rsid w:val="009F1886"/>
    <w:rsid w:val="009F18A3"/>
    <w:rsid w:val="009F1D58"/>
    <w:rsid w:val="009F2189"/>
    <w:rsid w:val="009F34B6"/>
    <w:rsid w:val="009F36AC"/>
    <w:rsid w:val="009F3F3C"/>
    <w:rsid w:val="009F41BB"/>
    <w:rsid w:val="009F4AFB"/>
    <w:rsid w:val="009F5042"/>
    <w:rsid w:val="009F5C41"/>
    <w:rsid w:val="009F6B03"/>
    <w:rsid w:val="009F7026"/>
    <w:rsid w:val="009F710D"/>
    <w:rsid w:val="009F74D0"/>
    <w:rsid w:val="009F79F1"/>
    <w:rsid w:val="009F7A6D"/>
    <w:rsid w:val="009F7C93"/>
    <w:rsid w:val="009F7F3C"/>
    <w:rsid w:val="00A0009D"/>
    <w:rsid w:val="00A0066D"/>
    <w:rsid w:val="00A01368"/>
    <w:rsid w:val="00A01855"/>
    <w:rsid w:val="00A01AF5"/>
    <w:rsid w:val="00A01BDA"/>
    <w:rsid w:val="00A03DB2"/>
    <w:rsid w:val="00A03ECB"/>
    <w:rsid w:val="00A048EE"/>
    <w:rsid w:val="00A05244"/>
    <w:rsid w:val="00A0541C"/>
    <w:rsid w:val="00A058E7"/>
    <w:rsid w:val="00A05BC9"/>
    <w:rsid w:val="00A0686A"/>
    <w:rsid w:val="00A110E2"/>
    <w:rsid w:val="00A11C37"/>
    <w:rsid w:val="00A11E4D"/>
    <w:rsid w:val="00A12893"/>
    <w:rsid w:val="00A129FF"/>
    <w:rsid w:val="00A130AE"/>
    <w:rsid w:val="00A139BE"/>
    <w:rsid w:val="00A13A1B"/>
    <w:rsid w:val="00A14010"/>
    <w:rsid w:val="00A14789"/>
    <w:rsid w:val="00A153CB"/>
    <w:rsid w:val="00A202BB"/>
    <w:rsid w:val="00A207ED"/>
    <w:rsid w:val="00A209C1"/>
    <w:rsid w:val="00A2169E"/>
    <w:rsid w:val="00A22813"/>
    <w:rsid w:val="00A232E3"/>
    <w:rsid w:val="00A23791"/>
    <w:rsid w:val="00A23D79"/>
    <w:rsid w:val="00A24587"/>
    <w:rsid w:val="00A24C5D"/>
    <w:rsid w:val="00A253D5"/>
    <w:rsid w:val="00A2542E"/>
    <w:rsid w:val="00A25AFA"/>
    <w:rsid w:val="00A265F4"/>
    <w:rsid w:val="00A267AF"/>
    <w:rsid w:val="00A2731E"/>
    <w:rsid w:val="00A32422"/>
    <w:rsid w:val="00A34923"/>
    <w:rsid w:val="00A34C36"/>
    <w:rsid w:val="00A3595B"/>
    <w:rsid w:val="00A3621A"/>
    <w:rsid w:val="00A3626C"/>
    <w:rsid w:val="00A36C68"/>
    <w:rsid w:val="00A3744C"/>
    <w:rsid w:val="00A37AAD"/>
    <w:rsid w:val="00A415FE"/>
    <w:rsid w:val="00A421E5"/>
    <w:rsid w:val="00A4347C"/>
    <w:rsid w:val="00A434D2"/>
    <w:rsid w:val="00A43DE2"/>
    <w:rsid w:val="00A4441C"/>
    <w:rsid w:val="00A44715"/>
    <w:rsid w:val="00A449D4"/>
    <w:rsid w:val="00A44D08"/>
    <w:rsid w:val="00A4666C"/>
    <w:rsid w:val="00A46CF0"/>
    <w:rsid w:val="00A470E1"/>
    <w:rsid w:val="00A47454"/>
    <w:rsid w:val="00A50210"/>
    <w:rsid w:val="00A50314"/>
    <w:rsid w:val="00A52C04"/>
    <w:rsid w:val="00A535AD"/>
    <w:rsid w:val="00A53B6F"/>
    <w:rsid w:val="00A54646"/>
    <w:rsid w:val="00A54AB6"/>
    <w:rsid w:val="00A54C18"/>
    <w:rsid w:val="00A55ED5"/>
    <w:rsid w:val="00A56F1C"/>
    <w:rsid w:val="00A578FE"/>
    <w:rsid w:val="00A60089"/>
    <w:rsid w:val="00A603AF"/>
    <w:rsid w:val="00A6103C"/>
    <w:rsid w:val="00A618EA"/>
    <w:rsid w:val="00A627C9"/>
    <w:rsid w:val="00A62B4F"/>
    <w:rsid w:val="00A62BD3"/>
    <w:rsid w:val="00A62EF6"/>
    <w:rsid w:val="00A6318F"/>
    <w:rsid w:val="00A64085"/>
    <w:rsid w:val="00A64625"/>
    <w:rsid w:val="00A64B57"/>
    <w:rsid w:val="00A64DA2"/>
    <w:rsid w:val="00A64E4B"/>
    <w:rsid w:val="00A65284"/>
    <w:rsid w:val="00A658AD"/>
    <w:rsid w:val="00A6605B"/>
    <w:rsid w:val="00A66360"/>
    <w:rsid w:val="00A6764B"/>
    <w:rsid w:val="00A67708"/>
    <w:rsid w:val="00A679EA"/>
    <w:rsid w:val="00A67DF8"/>
    <w:rsid w:val="00A7073A"/>
    <w:rsid w:val="00A70832"/>
    <w:rsid w:val="00A71D18"/>
    <w:rsid w:val="00A71E5A"/>
    <w:rsid w:val="00A724A6"/>
    <w:rsid w:val="00A74119"/>
    <w:rsid w:val="00A75CFD"/>
    <w:rsid w:val="00A75E87"/>
    <w:rsid w:val="00A76B46"/>
    <w:rsid w:val="00A77427"/>
    <w:rsid w:val="00A7744F"/>
    <w:rsid w:val="00A77DB4"/>
    <w:rsid w:val="00A80E9F"/>
    <w:rsid w:val="00A8111F"/>
    <w:rsid w:val="00A81B81"/>
    <w:rsid w:val="00A81D64"/>
    <w:rsid w:val="00A81EBC"/>
    <w:rsid w:val="00A82610"/>
    <w:rsid w:val="00A826A2"/>
    <w:rsid w:val="00A826D4"/>
    <w:rsid w:val="00A82AE4"/>
    <w:rsid w:val="00A83027"/>
    <w:rsid w:val="00A83F70"/>
    <w:rsid w:val="00A843F7"/>
    <w:rsid w:val="00A8451F"/>
    <w:rsid w:val="00A84A3C"/>
    <w:rsid w:val="00A8505B"/>
    <w:rsid w:val="00A85E88"/>
    <w:rsid w:val="00A86430"/>
    <w:rsid w:val="00A87D0F"/>
    <w:rsid w:val="00A90BBC"/>
    <w:rsid w:val="00A90E4D"/>
    <w:rsid w:val="00A92A49"/>
    <w:rsid w:val="00A93AD0"/>
    <w:rsid w:val="00A944A1"/>
    <w:rsid w:val="00A9451E"/>
    <w:rsid w:val="00A95D93"/>
    <w:rsid w:val="00A9656D"/>
    <w:rsid w:val="00A96910"/>
    <w:rsid w:val="00A96D46"/>
    <w:rsid w:val="00A97246"/>
    <w:rsid w:val="00A977C6"/>
    <w:rsid w:val="00A97AB7"/>
    <w:rsid w:val="00A97FD0"/>
    <w:rsid w:val="00AA04B2"/>
    <w:rsid w:val="00AA1144"/>
    <w:rsid w:val="00AA1A8F"/>
    <w:rsid w:val="00AA2FCD"/>
    <w:rsid w:val="00AA3129"/>
    <w:rsid w:val="00AA4126"/>
    <w:rsid w:val="00AA4FD5"/>
    <w:rsid w:val="00AA4FE2"/>
    <w:rsid w:val="00AA65BB"/>
    <w:rsid w:val="00AA6BF9"/>
    <w:rsid w:val="00AA78A2"/>
    <w:rsid w:val="00AB09B3"/>
    <w:rsid w:val="00AB0D13"/>
    <w:rsid w:val="00AB3979"/>
    <w:rsid w:val="00AB3F12"/>
    <w:rsid w:val="00AB44A7"/>
    <w:rsid w:val="00AB4596"/>
    <w:rsid w:val="00AB4D58"/>
    <w:rsid w:val="00AB6D06"/>
    <w:rsid w:val="00AB6D75"/>
    <w:rsid w:val="00AB6DB8"/>
    <w:rsid w:val="00AB751A"/>
    <w:rsid w:val="00AB7B42"/>
    <w:rsid w:val="00AB7FBE"/>
    <w:rsid w:val="00AC07FC"/>
    <w:rsid w:val="00AC0AFD"/>
    <w:rsid w:val="00AC12B7"/>
    <w:rsid w:val="00AC34E6"/>
    <w:rsid w:val="00AC3613"/>
    <w:rsid w:val="00AC404B"/>
    <w:rsid w:val="00AC4381"/>
    <w:rsid w:val="00AC4C23"/>
    <w:rsid w:val="00AC5586"/>
    <w:rsid w:val="00AC5856"/>
    <w:rsid w:val="00AC5B18"/>
    <w:rsid w:val="00AC61A1"/>
    <w:rsid w:val="00AC68BC"/>
    <w:rsid w:val="00AC692C"/>
    <w:rsid w:val="00AC70BC"/>
    <w:rsid w:val="00AC70FC"/>
    <w:rsid w:val="00AC7561"/>
    <w:rsid w:val="00AC76BE"/>
    <w:rsid w:val="00AC78C6"/>
    <w:rsid w:val="00AD241A"/>
    <w:rsid w:val="00AD254B"/>
    <w:rsid w:val="00AD28B3"/>
    <w:rsid w:val="00AD3640"/>
    <w:rsid w:val="00AD37BA"/>
    <w:rsid w:val="00AD3A0B"/>
    <w:rsid w:val="00AD3A21"/>
    <w:rsid w:val="00AD3DF9"/>
    <w:rsid w:val="00AD4AB8"/>
    <w:rsid w:val="00AD4AD9"/>
    <w:rsid w:val="00AD61E5"/>
    <w:rsid w:val="00AD66EF"/>
    <w:rsid w:val="00AD6936"/>
    <w:rsid w:val="00AD7142"/>
    <w:rsid w:val="00AE0FAF"/>
    <w:rsid w:val="00AE3968"/>
    <w:rsid w:val="00AE3AFB"/>
    <w:rsid w:val="00AE4162"/>
    <w:rsid w:val="00AE558E"/>
    <w:rsid w:val="00AE57DC"/>
    <w:rsid w:val="00AE6406"/>
    <w:rsid w:val="00AE6A35"/>
    <w:rsid w:val="00AE715D"/>
    <w:rsid w:val="00AF07B0"/>
    <w:rsid w:val="00AF0EF4"/>
    <w:rsid w:val="00AF2E48"/>
    <w:rsid w:val="00AF30EF"/>
    <w:rsid w:val="00AF4C17"/>
    <w:rsid w:val="00AF6582"/>
    <w:rsid w:val="00AF7D88"/>
    <w:rsid w:val="00AF7E6B"/>
    <w:rsid w:val="00B01FC2"/>
    <w:rsid w:val="00B02274"/>
    <w:rsid w:val="00B03171"/>
    <w:rsid w:val="00B03267"/>
    <w:rsid w:val="00B037E1"/>
    <w:rsid w:val="00B03803"/>
    <w:rsid w:val="00B03F4B"/>
    <w:rsid w:val="00B04141"/>
    <w:rsid w:val="00B1067F"/>
    <w:rsid w:val="00B11247"/>
    <w:rsid w:val="00B11A69"/>
    <w:rsid w:val="00B12F9A"/>
    <w:rsid w:val="00B14C58"/>
    <w:rsid w:val="00B15BC4"/>
    <w:rsid w:val="00B161D9"/>
    <w:rsid w:val="00B16378"/>
    <w:rsid w:val="00B165A6"/>
    <w:rsid w:val="00B16840"/>
    <w:rsid w:val="00B17E60"/>
    <w:rsid w:val="00B200F7"/>
    <w:rsid w:val="00B20390"/>
    <w:rsid w:val="00B20999"/>
    <w:rsid w:val="00B20DFF"/>
    <w:rsid w:val="00B21BCD"/>
    <w:rsid w:val="00B220C4"/>
    <w:rsid w:val="00B22226"/>
    <w:rsid w:val="00B22399"/>
    <w:rsid w:val="00B22650"/>
    <w:rsid w:val="00B22CF2"/>
    <w:rsid w:val="00B22F57"/>
    <w:rsid w:val="00B2308E"/>
    <w:rsid w:val="00B234C5"/>
    <w:rsid w:val="00B24051"/>
    <w:rsid w:val="00B2479B"/>
    <w:rsid w:val="00B24A01"/>
    <w:rsid w:val="00B24C55"/>
    <w:rsid w:val="00B26032"/>
    <w:rsid w:val="00B263FD"/>
    <w:rsid w:val="00B26567"/>
    <w:rsid w:val="00B27012"/>
    <w:rsid w:val="00B3062D"/>
    <w:rsid w:val="00B30A87"/>
    <w:rsid w:val="00B31724"/>
    <w:rsid w:val="00B34D96"/>
    <w:rsid w:val="00B35809"/>
    <w:rsid w:val="00B35A95"/>
    <w:rsid w:val="00B35FC2"/>
    <w:rsid w:val="00B37900"/>
    <w:rsid w:val="00B37A17"/>
    <w:rsid w:val="00B40EBF"/>
    <w:rsid w:val="00B41AF9"/>
    <w:rsid w:val="00B41D18"/>
    <w:rsid w:val="00B41E3D"/>
    <w:rsid w:val="00B420DA"/>
    <w:rsid w:val="00B4238E"/>
    <w:rsid w:val="00B4259C"/>
    <w:rsid w:val="00B4553D"/>
    <w:rsid w:val="00B46221"/>
    <w:rsid w:val="00B46BD5"/>
    <w:rsid w:val="00B46E48"/>
    <w:rsid w:val="00B478D7"/>
    <w:rsid w:val="00B50801"/>
    <w:rsid w:val="00B50F10"/>
    <w:rsid w:val="00B5127D"/>
    <w:rsid w:val="00B51708"/>
    <w:rsid w:val="00B517AA"/>
    <w:rsid w:val="00B532AE"/>
    <w:rsid w:val="00B537DE"/>
    <w:rsid w:val="00B53D99"/>
    <w:rsid w:val="00B54CE3"/>
    <w:rsid w:val="00B5506C"/>
    <w:rsid w:val="00B555FF"/>
    <w:rsid w:val="00B56138"/>
    <w:rsid w:val="00B5639F"/>
    <w:rsid w:val="00B57359"/>
    <w:rsid w:val="00B57E09"/>
    <w:rsid w:val="00B60A69"/>
    <w:rsid w:val="00B6195C"/>
    <w:rsid w:val="00B61987"/>
    <w:rsid w:val="00B61CFA"/>
    <w:rsid w:val="00B61D70"/>
    <w:rsid w:val="00B64084"/>
    <w:rsid w:val="00B64D62"/>
    <w:rsid w:val="00B66255"/>
    <w:rsid w:val="00B664B2"/>
    <w:rsid w:val="00B6701D"/>
    <w:rsid w:val="00B67771"/>
    <w:rsid w:val="00B67F7B"/>
    <w:rsid w:val="00B67FC4"/>
    <w:rsid w:val="00B7031D"/>
    <w:rsid w:val="00B704E7"/>
    <w:rsid w:val="00B718EB"/>
    <w:rsid w:val="00B71B17"/>
    <w:rsid w:val="00B71D26"/>
    <w:rsid w:val="00B732CB"/>
    <w:rsid w:val="00B744A7"/>
    <w:rsid w:val="00B74772"/>
    <w:rsid w:val="00B75EDD"/>
    <w:rsid w:val="00B76917"/>
    <w:rsid w:val="00B76A30"/>
    <w:rsid w:val="00B76BA5"/>
    <w:rsid w:val="00B77D4A"/>
    <w:rsid w:val="00B8126F"/>
    <w:rsid w:val="00B81BD7"/>
    <w:rsid w:val="00B82473"/>
    <w:rsid w:val="00B828C9"/>
    <w:rsid w:val="00B82B61"/>
    <w:rsid w:val="00B83071"/>
    <w:rsid w:val="00B8326B"/>
    <w:rsid w:val="00B8330F"/>
    <w:rsid w:val="00B839AF"/>
    <w:rsid w:val="00B83B6B"/>
    <w:rsid w:val="00B83DB9"/>
    <w:rsid w:val="00B840B7"/>
    <w:rsid w:val="00B8578D"/>
    <w:rsid w:val="00B862AA"/>
    <w:rsid w:val="00B87312"/>
    <w:rsid w:val="00B878B0"/>
    <w:rsid w:val="00B90F6D"/>
    <w:rsid w:val="00B91124"/>
    <w:rsid w:val="00B9156A"/>
    <w:rsid w:val="00B926E9"/>
    <w:rsid w:val="00B92904"/>
    <w:rsid w:val="00B94238"/>
    <w:rsid w:val="00B95007"/>
    <w:rsid w:val="00B9504B"/>
    <w:rsid w:val="00B95793"/>
    <w:rsid w:val="00B95DE0"/>
    <w:rsid w:val="00B964D7"/>
    <w:rsid w:val="00B964E3"/>
    <w:rsid w:val="00B96B26"/>
    <w:rsid w:val="00B976D7"/>
    <w:rsid w:val="00B979ED"/>
    <w:rsid w:val="00BA027F"/>
    <w:rsid w:val="00BA0F32"/>
    <w:rsid w:val="00BA1238"/>
    <w:rsid w:val="00BA1846"/>
    <w:rsid w:val="00BA275F"/>
    <w:rsid w:val="00BA28F9"/>
    <w:rsid w:val="00BA4786"/>
    <w:rsid w:val="00BA491B"/>
    <w:rsid w:val="00BA5809"/>
    <w:rsid w:val="00BA60A5"/>
    <w:rsid w:val="00BA62B1"/>
    <w:rsid w:val="00BA6418"/>
    <w:rsid w:val="00BA6635"/>
    <w:rsid w:val="00BA74EF"/>
    <w:rsid w:val="00BA7BFC"/>
    <w:rsid w:val="00BB0565"/>
    <w:rsid w:val="00BB09F0"/>
    <w:rsid w:val="00BB0C16"/>
    <w:rsid w:val="00BB0FDE"/>
    <w:rsid w:val="00BB1113"/>
    <w:rsid w:val="00BB132B"/>
    <w:rsid w:val="00BB23B9"/>
    <w:rsid w:val="00BB3446"/>
    <w:rsid w:val="00BB4F85"/>
    <w:rsid w:val="00BB53F0"/>
    <w:rsid w:val="00BB55E5"/>
    <w:rsid w:val="00BB6723"/>
    <w:rsid w:val="00BB7986"/>
    <w:rsid w:val="00BB7E35"/>
    <w:rsid w:val="00BC0D51"/>
    <w:rsid w:val="00BC1433"/>
    <w:rsid w:val="00BC16EB"/>
    <w:rsid w:val="00BC180E"/>
    <w:rsid w:val="00BC44F1"/>
    <w:rsid w:val="00BC4601"/>
    <w:rsid w:val="00BC4974"/>
    <w:rsid w:val="00BC5164"/>
    <w:rsid w:val="00BC6950"/>
    <w:rsid w:val="00BC6A30"/>
    <w:rsid w:val="00BC7179"/>
    <w:rsid w:val="00BC7D6D"/>
    <w:rsid w:val="00BD12A1"/>
    <w:rsid w:val="00BD1B36"/>
    <w:rsid w:val="00BD223E"/>
    <w:rsid w:val="00BD247C"/>
    <w:rsid w:val="00BD2E70"/>
    <w:rsid w:val="00BD38E2"/>
    <w:rsid w:val="00BD3DF1"/>
    <w:rsid w:val="00BD48DB"/>
    <w:rsid w:val="00BD4C8C"/>
    <w:rsid w:val="00BD5365"/>
    <w:rsid w:val="00BD536D"/>
    <w:rsid w:val="00BD5B88"/>
    <w:rsid w:val="00BD66D2"/>
    <w:rsid w:val="00BD72AD"/>
    <w:rsid w:val="00BD7361"/>
    <w:rsid w:val="00BD7E85"/>
    <w:rsid w:val="00BE0575"/>
    <w:rsid w:val="00BE1703"/>
    <w:rsid w:val="00BE2986"/>
    <w:rsid w:val="00BE2C06"/>
    <w:rsid w:val="00BE2F61"/>
    <w:rsid w:val="00BE37BF"/>
    <w:rsid w:val="00BE3B44"/>
    <w:rsid w:val="00BE4098"/>
    <w:rsid w:val="00BE42FE"/>
    <w:rsid w:val="00BE4AA2"/>
    <w:rsid w:val="00BE5728"/>
    <w:rsid w:val="00BE6B3F"/>
    <w:rsid w:val="00BE7395"/>
    <w:rsid w:val="00BE7F41"/>
    <w:rsid w:val="00BF013B"/>
    <w:rsid w:val="00BF0680"/>
    <w:rsid w:val="00BF06A0"/>
    <w:rsid w:val="00BF0AB6"/>
    <w:rsid w:val="00BF1338"/>
    <w:rsid w:val="00BF2339"/>
    <w:rsid w:val="00BF23D0"/>
    <w:rsid w:val="00BF38FC"/>
    <w:rsid w:val="00BF3C6E"/>
    <w:rsid w:val="00BF4BA7"/>
    <w:rsid w:val="00BF4E4D"/>
    <w:rsid w:val="00BF7791"/>
    <w:rsid w:val="00BF7FC1"/>
    <w:rsid w:val="00C0069C"/>
    <w:rsid w:val="00C00849"/>
    <w:rsid w:val="00C01BD0"/>
    <w:rsid w:val="00C03FBE"/>
    <w:rsid w:val="00C046F2"/>
    <w:rsid w:val="00C05BB4"/>
    <w:rsid w:val="00C06242"/>
    <w:rsid w:val="00C06C98"/>
    <w:rsid w:val="00C0774F"/>
    <w:rsid w:val="00C100BE"/>
    <w:rsid w:val="00C12013"/>
    <w:rsid w:val="00C120DD"/>
    <w:rsid w:val="00C12D56"/>
    <w:rsid w:val="00C130BF"/>
    <w:rsid w:val="00C1344B"/>
    <w:rsid w:val="00C13C6A"/>
    <w:rsid w:val="00C13D4B"/>
    <w:rsid w:val="00C13FF0"/>
    <w:rsid w:val="00C141B8"/>
    <w:rsid w:val="00C1499E"/>
    <w:rsid w:val="00C14D88"/>
    <w:rsid w:val="00C14E60"/>
    <w:rsid w:val="00C15511"/>
    <w:rsid w:val="00C1585C"/>
    <w:rsid w:val="00C16606"/>
    <w:rsid w:val="00C1728B"/>
    <w:rsid w:val="00C177CE"/>
    <w:rsid w:val="00C217BE"/>
    <w:rsid w:val="00C21A60"/>
    <w:rsid w:val="00C230C5"/>
    <w:rsid w:val="00C2365B"/>
    <w:rsid w:val="00C23D66"/>
    <w:rsid w:val="00C2401E"/>
    <w:rsid w:val="00C245E8"/>
    <w:rsid w:val="00C24D50"/>
    <w:rsid w:val="00C25613"/>
    <w:rsid w:val="00C2570F"/>
    <w:rsid w:val="00C25C4A"/>
    <w:rsid w:val="00C25CC5"/>
    <w:rsid w:val="00C261E6"/>
    <w:rsid w:val="00C267C9"/>
    <w:rsid w:val="00C268EB"/>
    <w:rsid w:val="00C27D86"/>
    <w:rsid w:val="00C27DC8"/>
    <w:rsid w:val="00C3065E"/>
    <w:rsid w:val="00C30685"/>
    <w:rsid w:val="00C30918"/>
    <w:rsid w:val="00C3114E"/>
    <w:rsid w:val="00C31387"/>
    <w:rsid w:val="00C31584"/>
    <w:rsid w:val="00C32CDA"/>
    <w:rsid w:val="00C32F6D"/>
    <w:rsid w:val="00C33705"/>
    <w:rsid w:val="00C33825"/>
    <w:rsid w:val="00C33883"/>
    <w:rsid w:val="00C3532E"/>
    <w:rsid w:val="00C359E9"/>
    <w:rsid w:val="00C41990"/>
    <w:rsid w:val="00C42520"/>
    <w:rsid w:val="00C426E0"/>
    <w:rsid w:val="00C42BE6"/>
    <w:rsid w:val="00C44323"/>
    <w:rsid w:val="00C44598"/>
    <w:rsid w:val="00C44B41"/>
    <w:rsid w:val="00C44C95"/>
    <w:rsid w:val="00C451BC"/>
    <w:rsid w:val="00C45C88"/>
    <w:rsid w:val="00C463D3"/>
    <w:rsid w:val="00C47BC2"/>
    <w:rsid w:val="00C503B1"/>
    <w:rsid w:val="00C503E5"/>
    <w:rsid w:val="00C50CAF"/>
    <w:rsid w:val="00C513D1"/>
    <w:rsid w:val="00C51EE7"/>
    <w:rsid w:val="00C524E2"/>
    <w:rsid w:val="00C52DAE"/>
    <w:rsid w:val="00C532C0"/>
    <w:rsid w:val="00C53B7C"/>
    <w:rsid w:val="00C53EED"/>
    <w:rsid w:val="00C54689"/>
    <w:rsid w:val="00C54E4F"/>
    <w:rsid w:val="00C550B8"/>
    <w:rsid w:val="00C55836"/>
    <w:rsid w:val="00C56654"/>
    <w:rsid w:val="00C56E0E"/>
    <w:rsid w:val="00C57295"/>
    <w:rsid w:val="00C57B76"/>
    <w:rsid w:val="00C57CC8"/>
    <w:rsid w:val="00C57F57"/>
    <w:rsid w:val="00C604B7"/>
    <w:rsid w:val="00C61E24"/>
    <w:rsid w:val="00C6223F"/>
    <w:rsid w:val="00C62785"/>
    <w:rsid w:val="00C62D72"/>
    <w:rsid w:val="00C63802"/>
    <w:rsid w:val="00C64796"/>
    <w:rsid w:val="00C659CD"/>
    <w:rsid w:val="00C66DD1"/>
    <w:rsid w:val="00C66ED4"/>
    <w:rsid w:val="00C66EEC"/>
    <w:rsid w:val="00C6719A"/>
    <w:rsid w:val="00C67A29"/>
    <w:rsid w:val="00C67F6C"/>
    <w:rsid w:val="00C70022"/>
    <w:rsid w:val="00C70499"/>
    <w:rsid w:val="00C711CD"/>
    <w:rsid w:val="00C719AF"/>
    <w:rsid w:val="00C71EAA"/>
    <w:rsid w:val="00C7251A"/>
    <w:rsid w:val="00C7292A"/>
    <w:rsid w:val="00C73229"/>
    <w:rsid w:val="00C7346C"/>
    <w:rsid w:val="00C73690"/>
    <w:rsid w:val="00C7417D"/>
    <w:rsid w:val="00C741B0"/>
    <w:rsid w:val="00C743EC"/>
    <w:rsid w:val="00C75164"/>
    <w:rsid w:val="00C75783"/>
    <w:rsid w:val="00C762EC"/>
    <w:rsid w:val="00C77BBB"/>
    <w:rsid w:val="00C80E2F"/>
    <w:rsid w:val="00C8221A"/>
    <w:rsid w:val="00C822FD"/>
    <w:rsid w:val="00C82EED"/>
    <w:rsid w:val="00C83892"/>
    <w:rsid w:val="00C83F27"/>
    <w:rsid w:val="00C8442F"/>
    <w:rsid w:val="00C84BBD"/>
    <w:rsid w:val="00C86601"/>
    <w:rsid w:val="00C86985"/>
    <w:rsid w:val="00C86C9A"/>
    <w:rsid w:val="00C872FB"/>
    <w:rsid w:val="00C87BAD"/>
    <w:rsid w:val="00C90588"/>
    <w:rsid w:val="00C9067C"/>
    <w:rsid w:val="00C906D2"/>
    <w:rsid w:val="00C90748"/>
    <w:rsid w:val="00C90E06"/>
    <w:rsid w:val="00C926E1"/>
    <w:rsid w:val="00C927CB"/>
    <w:rsid w:val="00C93D14"/>
    <w:rsid w:val="00C94A2F"/>
    <w:rsid w:val="00C95122"/>
    <w:rsid w:val="00C96341"/>
    <w:rsid w:val="00C963FB"/>
    <w:rsid w:val="00C964CA"/>
    <w:rsid w:val="00C973C0"/>
    <w:rsid w:val="00C97DD1"/>
    <w:rsid w:val="00C97E95"/>
    <w:rsid w:val="00CA0090"/>
    <w:rsid w:val="00CA0421"/>
    <w:rsid w:val="00CA049C"/>
    <w:rsid w:val="00CA1187"/>
    <w:rsid w:val="00CA1330"/>
    <w:rsid w:val="00CA21AC"/>
    <w:rsid w:val="00CA21E0"/>
    <w:rsid w:val="00CA2F9E"/>
    <w:rsid w:val="00CA3459"/>
    <w:rsid w:val="00CA3B7F"/>
    <w:rsid w:val="00CA3C84"/>
    <w:rsid w:val="00CA476A"/>
    <w:rsid w:val="00CA482A"/>
    <w:rsid w:val="00CA506A"/>
    <w:rsid w:val="00CA565A"/>
    <w:rsid w:val="00CA5CC9"/>
    <w:rsid w:val="00CA6423"/>
    <w:rsid w:val="00CA6F81"/>
    <w:rsid w:val="00CB02A3"/>
    <w:rsid w:val="00CB20A0"/>
    <w:rsid w:val="00CB20B0"/>
    <w:rsid w:val="00CB2926"/>
    <w:rsid w:val="00CB3701"/>
    <w:rsid w:val="00CB3955"/>
    <w:rsid w:val="00CB4B43"/>
    <w:rsid w:val="00CB59E4"/>
    <w:rsid w:val="00CB60C6"/>
    <w:rsid w:val="00CB6445"/>
    <w:rsid w:val="00CB67A0"/>
    <w:rsid w:val="00CB6DAF"/>
    <w:rsid w:val="00CB7866"/>
    <w:rsid w:val="00CC194F"/>
    <w:rsid w:val="00CC1B0E"/>
    <w:rsid w:val="00CC21AC"/>
    <w:rsid w:val="00CC3941"/>
    <w:rsid w:val="00CC4C7E"/>
    <w:rsid w:val="00CC5554"/>
    <w:rsid w:val="00CC68A6"/>
    <w:rsid w:val="00CC6A22"/>
    <w:rsid w:val="00CC737B"/>
    <w:rsid w:val="00CC7A56"/>
    <w:rsid w:val="00CD1152"/>
    <w:rsid w:val="00CD1856"/>
    <w:rsid w:val="00CD1A28"/>
    <w:rsid w:val="00CD2192"/>
    <w:rsid w:val="00CD2815"/>
    <w:rsid w:val="00CD2819"/>
    <w:rsid w:val="00CD2F2A"/>
    <w:rsid w:val="00CD30CD"/>
    <w:rsid w:val="00CD3F30"/>
    <w:rsid w:val="00CD4DD0"/>
    <w:rsid w:val="00CD59C1"/>
    <w:rsid w:val="00CD5EA1"/>
    <w:rsid w:val="00CD67FB"/>
    <w:rsid w:val="00CD6BC7"/>
    <w:rsid w:val="00CD7462"/>
    <w:rsid w:val="00CE0B5E"/>
    <w:rsid w:val="00CE0F40"/>
    <w:rsid w:val="00CE1345"/>
    <w:rsid w:val="00CE1414"/>
    <w:rsid w:val="00CE1494"/>
    <w:rsid w:val="00CE1DD8"/>
    <w:rsid w:val="00CE2002"/>
    <w:rsid w:val="00CE21DA"/>
    <w:rsid w:val="00CE295F"/>
    <w:rsid w:val="00CE3E1B"/>
    <w:rsid w:val="00CE4610"/>
    <w:rsid w:val="00CE4C42"/>
    <w:rsid w:val="00CE4CA0"/>
    <w:rsid w:val="00CE69DC"/>
    <w:rsid w:val="00CE72F4"/>
    <w:rsid w:val="00CE7859"/>
    <w:rsid w:val="00CE7E9B"/>
    <w:rsid w:val="00CF133A"/>
    <w:rsid w:val="00CF1F8A"/>
    <w:rsid w:val="00CF1FFD"/>
    <w:rsid w:val="00CF3AD7"/>
    <w:rsid w:val="00CF4C44"/>
    <w:rsid w:val="00CF56DA"/>
    <w:rsid w:val="00CF5737"/>
    <w:rsid w:val="00CF5B64"/>
    <w:rsid w:val="00CF5E1C"/>
    <w:rsid w:val="00CF5F75"/>
    <w:rsid w:val="00CF7603"/>
    <w:rsid w:val="00D00DE2"/>
    <w:rsid w:val="00D0197F"/>
    <w:rsid w:val="00D01C1C"/>
    <w:rsid w:val="00D02AF7"/>
    <w:rsid w:val="00D0335C"/>
    <w:rsid w:val="00D0360C"/>
    <w:rsid w:val="00D03B84"/>
    <w:rsid w:val="00D0411D"/>
    <w:rsid w:val="00D049C8"/>
    <w:rsid w:val="00D06FE9"/>
    <w:rsid w:val="00D071CC"/>
    <w:rsid w:val="00D07B16"/>
    <w:rsid w:val="00D10757"/>
    <w:rsid w:val="00D109A1"/>
    <w:rsid w:val="00D10CA8"/>
    <w:rsid w:val="00D116E1"/>
    <w:rsid w:val="00D11AD5"/>
    <w:rsid w:val="00D11D56"/>
    <w:rsid w:val="00D121AF"/>
    <w:rsid w:val="00D12C39"/>
    <w:rsid w:val="00D12EA5"/>
    <w:rsid w:val="00D13226"/>
    <w:rsid w:val="00D13269"/>
    <w:rsid w:val="00D135B3"/>
    <w:rsid w:val="00D137DC"/>
    <w:rsid w:val="00D139FC"/>
    <w:rsid w:val="00D13DE6"/>
    <w:rsid w:val="00D14FB8"/>
    <w:rsid w:val="00D15138"/>
    <w:rsid w:val="00D15801"/>
    <w:rsid w:val="00D160AA"/>
    <w:rsid w:val="00D169E6"/>
    <w:rsid w:val="00D1720E"/>
    <w:rsid w:val="00D173F6"/>
    <w:rsid w:val="00D17722"/>
    <w:rsid w:val="00D17C70"/>
    <w:rsid w:val="00D2160A"/>
    <w:rsid w:val="00D21B9C"/>
    <w:rsid w:val="00D22404"/>
    <w:rsid w:val="00D22C27"/>
    <w:rsid w:val="00D23A76"/>
    <w:rsid w:val="00D243C4"/>
    <w:rsid w:val="00D24755"/>
    <w:rsid w:val="00D24AA7"/>
    <w:rsid w:val="00D24E16"/>
    <w:rsid w:val="00D24E63"/>
    <w:rsid w:val="00D25CD0"/>
    <w:rsid w:val="00D25DB9"/>
    <w:rsid w:val="00D26420"/>
    <w:rsid w:val="00D26871"/>
    <w:rsid w:val="00D26994"/>
    <w:rsid w:val="00D3005E"/>
    <w:rsid w:val="00D306CD"/>
    <w:rsid w:val="00D3074D"/>
    <w:rsid w:val="00D3097B"/>
    <w:rsid w:val="00D30AF8"/>
    <w:rsid w:val="00D32D64"/>
    <w:rsid w:val="00D3308D"/>
    <w:rsid w:val="00D33AEE"/>
    <w:rsid w:val="00D33CF9"/>
    <w:rsid w:val="00D341F4"/>
    <w:rsid w:val="00D34D36"/>
    <w:rsid w:val="00D34D62"/>
    <w:rsid w:val="00D3526A"/>
    <w:rsid w:val="00D35570"/>
    <w:rsid w:val="00D36490"/>
    <w:rsid w:val="00D36ADA"/>
    <w:rsid w:val="00D36E09"/>
    <w:rsid w:val="00D3768B"/>
    <w:rsid w:val="00D40B7F"/>
    <w:rsid w:val="00D410DA"/>
    <w:rsid w:val="00D41895"/>
    <w:rsid w:val="00D4271F"/>
    <w:rsid w:val="00D4366C"/>
    <w:rsid w:val="00D43A7B"/>
    <w:rsid w:val="00D44032"/>
    <w:rsid w:val="00D44643"/>
    <w:rsid w:val="00D446EC"/>
    <w:rsid w:val="00D44BFE"/>
    <w:rsid w:val="00D44DF5"/>
    <w:rsid w:val="00D45746"/>
    <w:rsid w:val="00D459D8"/>
    <w:rsid w:val="00D4607F"/>
    <w:rsid w:val="00D4689D"/>
    <w:rsid w:val="00D468A3"/>
    <w:rsid w:val="00D4690D"/>
    <w:rsid w:val="00D50B19"/>
    <w:rsid w:val="00D50F07"/>
    <w:rsid w:val="00D51903"/>
    <w:rsid w:val="00D51D74"/>
    <w:rsid w:val="00D53A03"/>
    <w:rsid w:val="00D5408C"/>
    <w:rsid w:val="00D55191"/>
    <w:rsid w:val="00D55C17"/>
    <w:rsid w:val="00D55EBF"/>
    <w:rsid w:val="00D567F3"/>
    <w:rsid w:val="00D56C3A"/>
    <w:rsid w:val="00D574DC"/>
    <w:rsid w:val="00D60CD6"/>
    <w:rsid w:val="00D61816"/>
    <w:rsid w:val="00D62690"/>
    <w:rsid w:val="00D63105"/>
    <w:rsid w:val="00D63451"/>
    <w:rsid w:val="00D64B1A"/>
    <w:rsid w:val="00D65782"/>
    <w:rsid w:val="00D67127"/>
    <w:rsid w:val="00D67912"/>
    <w:rsid w:val="00D67C4E"/>
    <w:rsid w:val="00D7042C"/>
    <w:rsid w:val="00D706A0"/>
    <w:rsid w:val="00D706F6"/>
    <w:rsid w:val="00D70A26"/>
    <w:rsid w:val="00D712A0"/>
    <w:rsid w:val="00D71A9A"/>
    <w:rsid w:val="00D721E3"/>
    <w:rsid w:val="00D736EF"/>
    <w:rsid w:val="00D74244"/>
    <w:rsid w:val="00D74428"/>
    <w:rsid w:val="00D7590A"/>
    <w:rsid w:val="00D779E4"/>
    <w:rsid w:val="00D77F32"/>
    <w:rsid w:val="00D80005"/>
    <w:rsid w:val="00D80526"/>
    <w:rsid w:val="00D806AB"/>
    <w:rsid w:val="00D8085E"/>
    <w:rsid w:val="00D80B94"/>
    <w:rsid w:val="00D816B5"/>
    <w:rsid w:val="00D816CB"/>
    <w:rsid w:val="00D81B48"/>
    <w:rsid w:val="00D81BFD"/>
    <w:rsid w:val="00D81F36"/>
    <w:rsid w:val="00D8206D"/>
    <w:rsid w:val="00D82560"/>
    <w:rsid w:val="00D82DE1"/>
    <w:rsid w:val="00D831A4"/>
    <w:rsid w:val="00D8409D"/>
    <w:rsid w:val="00D8424E"/>
    <w:rsid w:val="00D84B0F"/>
    <w:rsid w:val="00D85087"/>
    <w:rsid w:val="00D860F8"/>
    <w:rsid w:val="00D86376"/>
    <w:rsid w:val="00D86C12"/>
    <w:rsid w:val="00D86C53"/>
    <w:rsid w:val="00D90915"/>
    <w:rsid w:val="00D90D30"/>
    <w:rsid w:val="00D910F4"/>
    <w:rsid w:val="00D93387"/>
    <w:rsid w:val="00D948DE"/>
    <w:rsid w:val="00D953B1"/>
    <w:rsid w:val="00D95E9E"/>
    <w:rsid w:val="00D96165"/>
    <w:rsid w:val="00D965FA"/>
    <w:rsid w:val="00D96FEC"/>
    <w:rsid w:val="00DA017B"/>
    <w:rsid w:val="00DA0639"/>
    <w:rsid w:val="00DA0C05"/>
    <w:rsid w:val="00DA11CD"/>
    <w:rsid w:val="00DA12B1"/>
    <w:rsid w:val="00DA1A38"/>
    <w:rsid w:val="00DA46F9"/>
    <w:rsid w:val="00DA4C26"/>
    <w:rsid w:val="00DA5200"/>
    <w:rsid w:val="00DA5290"/>
    <w:rsid w:val="00DA5365"/>
    <w:rsid w:val="00DA628E"/>
    <w:rsid w:val="00DA6C2A"/>
    <w:rsid w:val="00DA7040"/>
    <w:rsid w:val="00DB085C"/>
    <w:rsid w:val="00DB0F57"/>
    <w:rsid w:val="00DB0FA6"/>
    <w:rsid w:val="00DB14C7"/>
    <w:rsid w:val="00DB18A6"/>
    <w:rsid w:val="00DB1C89"/>
    <w:rsid w:val="00DB1F4C"/>
    <w:rsid w:val="00DB2215"/>
    <w:rsid w:val="00DB226E"/>
    <w:rsid w:val="00DB25C5"/>
    <w:rsid w:val="00DB2E32"/>
    <w:rsid w:val="00DB38CC"/>
    <w:rsid w:val="00DB3DE9"/>
    <w:rsid w:val="00DB4209"/>
    <w:rsid w:val="00DB4650"/>
    <w:rsid w:val="00DB4997"/>
    <w:rsid w:val="00DB4A23"/>
    <w:rsid w:val="00DB572D"/>
    <w:rsid w:val="00DB5A26"/>
    <w:rsid w:val="00DB5AE8"/>
    <w:rsid w:val="00DB6353"/>
    <w:rsid w:val="00DB6D95"/>
    <w:rsid w:val="00DB780D"/>
    <w:rsid w:val="00DB7A60"/>
    <w:rsid w:val="00DC0578"/>
    <w:rsid w:val="00DC12FE"/>
    <w:rsid w:val="00DC1A04"/>
    <w:rsid w:val="00DC2E36"/>
    <w:rsid w:val="00DC3361"/>
    <w:rsid w:val="00DC34E5"/>
    <w:rsid w:val="00DC3B83"/>
    <w:rsid w:val="00DC48C9"/>
    <w:rsid w:val="00DC5085"/>
    <w:rsid w:val="00DC5330"/>
    <w:rsid w:val="00DC5927"/>
    <w:rsid w:val="00DC607F"/>
    <w:rsid w:val="00DC6A43"/>
    <w:rsid w:val="00DC7588"/>
    <w:rsid w:val="00DD0608"/>
    <w:rsid w:val="00DD0868"/>
    <w:rsid w:val="00DD1869"/>
    <w:rsid w:val="00DD2731"/>
    <w:rsid w:val="00DD2BDD"/>
    <w:rsid w:val="00DD321A"/>
    <w:rsid w:val="00DD4127"/>
    <w:rsid w:val="00DD47BD"/>
    <w:rsid w:val="00DD496F"/>
    <w:rsid w:val="00DD5C71"/>
    <w:rsid w:val="00DE06E9"/>
    <w:rsid w:val="00DE0D69"/>
    <w:rsid w:val="00DE1917"/>
    <w:rsid w:val="00DE29DA"/>
    <w:rsid w:val="00DE2F93"/>
    <w:rsid w:val="00DE45E1"/>
    <w:rsid w:val="00DE4844"/>
    <w:rsid w:val="00DE4992"/>
    <w:rsid w:val="00DE4A1A"/>
    <w:rsid w:val="00DE516C"/>
    <w:rsid w:val="00DE5527"/>
    <w:rsid w:val="00DE5678"/>
    <w:rsid w:val="00DE62F2"/>
    <w:rsid w:val="00DE6857"/>
    <w:rsid w:val="00DE7D58"/>
    <w:rsid w:val="00DF0C81"/>
    <w:rsid w:val="00DF15F2"/>
    <w:rsid w:val="00DF165D"/>
    <w:rsid w:val="00DF1BFE"/>
    <w:rsid w:val="00DF1F42"/>
    <w:rsid w:val="00DF2879"/>
    <w:rsid w:val="00DF2F1A"/>
    <w:rsid w:val="00DF3059"/>
    <w:rsid w:val="00DF3D77"/>
    <w:rsid w:val="00DF42BF"/>
    <w:rsid w:val="00DF4EF7"/>
    <w:rsid w:val="00DF4F59"/>
    <w:rsid w:val="00DF50C4"/>
    <w:rsid w:val="00DF5944"/>
    <w:rsid w:val="00DF687A"/>
    <w:rsid w:val="00DF6A86"/>
    <w:rsid w:val="00DF786B"/>
    <w:rsid w:val="00DF7912"/>
    <w:rsid w:val="00DF7B7C"/>
    <w:rsid w:val="00E000EA"/>
    <w:rsid w:val="00E00C36"/>
    <w:rsid w:val="00E012F4"/>
    <w:rsid w:val="00E0141D"/>
    <w:rsid w:val="00E015BC"/>
    <w:rsid w:val="00E016AB"/>
    <w:rsid w:val="00E01CE7"/>
    <w:rsid w:val="00E01E09"/>
    <w:rsid w:val="00E03575"/>
    <w:rsid w:val="00E03A94"/>
    <w:rsid w:val="00E04592"/>
    <w:rsid w:val="00E05192"/>
    <w:rsid w:val="00E05DF3"/>
    <w:rsid w:val="00E05EC7"/>
    <w:rsid w:val="00E060AB"/>
    <w:rsid w:val="00E06754"/>
    <w:rsid w:val="00E06788"/>
    <w:rsid w:val="00E068F0"/>
    <w:rsid w:val="00E10083"/>
    <w:rsid w:val="00E101E8"/>
    <w:rsid w:val="00E10EB9"/>
    <w:rsid w:val="00E11ADD"/>
    <w:rsid w:val="00E11E9A"/>
    <w:rsid w:val="00E120FF"/>
    <w:rsid w:val="00E1222E"/>
    <w:rsid w:val="00E12619"/>
    <w:rsid w:val="00E13405"/>
    <w:rsid w:val="00E13753"/>
    <w:rsid w:val="00E139CD"/>
    <w:rsid w:val="00E13BC4"/>
    <w:rsid w:val="00E14294"/>
    <w:rsid w:val="00E14BE5"/>
    <w:rsid w:val="00E14D68"/>
    <w:rsid w:val="00E1507F"/>
    <w:rsid w:val="00E15497"/>
    <w:rsid w:val="00E15924"/>
    <w:rsid w:val="00E15928"/>
    <w:rsid w:val="00E16569"/>
    <w:rsid w:val="00E1699E"/>
    <w:rsid w:val="00E1704E"/>
    <w:rsid w:val="00E17164"/>
    <w:rsid w:val="00E205A3"/>
    <w:rsid w:val="00E205FE"/>
    <w:rsid w:val="00E20871"/>
    <w:rsid w:val="00E20908"/>
    <w:rsid w:val="00E218C8"/>
    <w:rsid w:val="00E223B1"/>
    <w:rsid w:val="00E2259C"/>
    <w:rsid w:val="00E22971"/>
    <w:rsid w:val="00E2362C"/>
    <w:rsid w:val="00E23D54"/>
    <w:rsid w:val="00E24ADC"/>
    <w:rsid w:val="00E24C92"/>
    <w:rsid w:val="00E24E47"/>
    <w:rsid w:val="00E25608"/>
    <w:rsid w:val="00E2562D"/>
    <w:rsid w:val="00E256F6"/>
    <w:rsid w:val="00E25877"/>
    <w:rsid w:val="00E25AFA"/>
    <w:rsid w:val="00E25C42"/>
    <w:rsid w:val="00E25EF6"/>
    <w:rsid w:val="00E26F68"/>
    <w:rsid w:val="00E27E8F"/>
    <w:rsid w:val="00E3029D"/>
    <w:rsid w:val="00E3140A"/>
    <w:rsid w:val="00E315C2"/>
    <w:rsid w:val="00E316AC"/>
    <w:rsid w:val="00E3296F"/>
    <w:rsid w:val="00E32E40"/>
    <w:rsid w:val="00E3436D"/>
    <w:rsid w:val="00E34612"/>
    <w:rsid w:val="00E36175"/>
    <w:rsid w:val="00E37A45"/>
    <w:rsid w:val="00E411FD"/>
    <w:rsid w:val="00E414D7"/>
    <w:rsid w:val="00E44982"/>
    <w:rsid w:val="00E4631A"/>
    <w:rsid w:val="00E470CA"/>
    <w:rsid w:val="00E472D6"/>
    <w:rsid w:val="00E47874"/>
    <w:rsid w:val="00E504D9"/>
    <w:rsid w:val="00E508DE"/>
    <w:rsid w:val="00E51623"/>
    <w:rsid w:val="00E51B51"/>
    <w:rsid w:val="00E52F74"/>
    <w:rsid w:val="00E53371"/>
    <w:rsid w:val="00E53699"/>
    <w:rsid w:val="00E53891"/>
    <w:rsid w:val="00E548E7"/>
    <w:rsid w:val="00E54D08"/>
    <w:rsid w:val="00E552D0"/>
    <w:rsid w:val="00E56A3D"/>
    <w:rsid w:val="00E56ABF"/>
    <w:rsid w:val="00E56E4B"/>
    <w:rsid w:val="00E57376"/>
    <w:rsid w:val="00E57B3A"/>
    <w:rsid w:val="00E6104E"/>
    <w:rsid w:val="00E61141"/>
    <w:rsid w:val="00E6146A"/>
    <w:rsid w:val="00E618A7"/>
    <w:rsid w:val="00E623CD"/>
    <w:rsid w:val="00E62AB5"/>
    <w:rsid w:val="00E63593"/>
    <w:rsid w:val="00E6376F"/>
    <w:rsid w:val="00E63B9E"/>
    <w:rsid w:val="00E64B29"/>
    <w:rsid w:val="00E64E98"/>
    <w:rsid w:val="00E655B1"/>
    <w:rsid w:val="00E6565D"/>
    <w:rsid w:val="00E668DB"/>
    <w:rsid w:val="00E66AA7"/>
    <w:rsid w:val="00E66FB3"/>
    <w:rsid w:val="00E67049"/>
    <w:rsid w:val="00E674D4"/>
    <w:rsid w:val="00E70E22"/>
    <w:rsid w:val="00E710E7"/>
    <w:rsid w:val="00E7148E"/>
    <w:rsid w:val="00E7164D"/>
    <w:rsid w:val="00E71B82"/>
    <w:rsid w:val="00E72C45"/>
    <w:rsid w:val="00E731A5"/>
    <w:rsid w:val="00E7331D"/>
    <w:rsid w:val="00E73421"/>
    <w:rsid w:val="00E73D33"/>
    <w:rsid w:val="00E745C4"/>
    <w:rsid w:val="00E7547C"/>
    <w:rsid w:val="00E756D1"/>
    <w:rsid w:val="00E758D5"/>
    <w:rsid w:val="00E758E4"/>
    <w:rsid w:val="00E76DF6"/>
    <w:rsid w:val="00E76ECE"/>
    <w:rsid w:val="00E77876"/>
    <w:rsid w:val="00E8003B"/>
    <w:rsid w:val="00E814E9"/>
    <w:rsid w:val="00E81E44"/>
    <w:rsid w:val="00E82018"/>
    <w:rsid w:val="00E82457"/>
    <w:rsid w:val="00E82706"/>
    <w:rsid w:val="00E8327F"/>
    <w:rsid w:val="00E83E92"/>
    <w:rsid w:val="00E84168"/>
    <w:rsid w:val="00E8444C"/>
    <w:rsid w:val="00E847CC"/>
    <w:rsid w:val="00E853AA"/>
    <w:rsid w:val="00E854E6"/>
    <w:rsid w:val="00E8589D"/>
    <w:rsid w:val="00E87290"/>
    <w:rsid w:val="00E87E89"/>
    <w:rsid w:val="00E908FA"/>
    <w:rsid w:val="00E91F2B"/>
    <w:rsid w:val="00E9220D"/>
    <w:rsid w:val="00E92B39"/>
    <w:rsid w:val="00E93CF1"/>
    <w:rsid w:val="00E93CF6"/>
    <w:rsid w:val="00E9524F"/>
    <w:rsid w:val="00E95420"/>
    <w:rsid w:val="00E95978"/>
    <w:rsid w:val="00E9623E"/>
    <w:rsid w:val="00E962DA"/>
    <w:rsid w:val="00E9643E"/>
    <w:rsid w:val="00E97A79"/>
    <w:rsid w:val="00EA25A6"/>
    <w:rsid w:val="00EA281E"/>
    <w:rsid w:val="00EA2DB2"/>
    <w:rsid w:val="00EA2DCC"/>
    <w:rsid w:val="00EA30E3"/>
    <w:rsid w:val="00EA346A"/>
    <w:rsid w:val="00EA41A5"/>
    <w:rsid w:val="00EA43F8"/>
    <w:rsid w:val="00EA469C"/>
    <w:rsid w:val="00EA4833"/>
    <w:rsid w:val="00EA5138"/>
    <w:rsid w:val="00EA544D"/>
    <w:rsid w:val="00EA607B"/>
    <w:rsid w:val="00EA61AA"/>
    <w:rsid w:val="00EA7F8E"/>
    <w:rsid w:val="00EB0772"/>
    <w:rsid w:val="00EB0F74"/>
    <w:rsid w:val="00EB1DCE"/>
    <w:rsid w:val="00EB23CC"/>
    <w:rsid w:val="00EB2C20"/>
    <w:rsid w:val="00EB3026"/>
    <w:rsid w:val="00EB35AB"/>
    <w:rsid w:val="00EB3F08"/>
    <w:rsid w:val="00EB4165"/>
    <w:rsid w:val="00EB4674"/>
    <w:rsid w:val="00EB48E8"/>
    <w:rsid w:val="00EB4934"/>
    <w:rsid w:val="00EB4BA6"/>
    <w:rsid w:val="00EB4EE5"/>
    <w:rsid w:val="00EB5062"/>
    <w:rsid w:val="00EB51CC"/>
    <w:rsid w:val="00EB5658"/>
    <w:rsid w:val="00EB5B35"/>
    <w:rsid w:val="00EB5C56"/>
    <w:rsid w:val="00EB63A4"/>
    <w:rsid w:val="00EB68D1"/>
    <w:rsid w:val="00EC0802"/>
    <w:rsid w:val="00EC148B"/>
    <w:rsid w:val="00EC3E36"/>
    <w:rsid w:val="00EC406C"/>
    <w:rsid w:val="00EC7841"/>
    <w:rsid w:val="00EC7CBB"/>
    <w:rsid w:val="00ED0183"/>
    <w:rsid w:val="00ED0990"/>
    <w:rsid w:val="00ED0BB0"/>
    <w:rsid w:val="00ED0E00"/>
    <w:rsid w:val="00ED16B3"/>
    <w:rsid w:val="00ED1AD5"/>
    <w:rsid w:val="00ED20AA"/>
    <w:rsid w:val="00ED2A53"/>
    <w:rsid w:val="00ED31E2"/>
    <w:rsid w:val="00ED351D"/>
    <w:rsid w:val="00ED398C"/>
    <w:rsid w:val="00ED455B"/>
    <w:rsid w:val="00ED4B4E"/>
    <w:rsid w:val="00ED4C95"/>
    <w:rsid w:val="00ED5369"/>
    <w:rsid w:val="00ED54D0"/>
    <w:rsid w:val="00ED5759"/>
    <w:rsid w:val="00ED5940"/>
    <w:rsid w:val="00ED6075"/>
    <w:rsid w:val="00ED6340"/>
    <w:rsid w:val="00ED7008"/>
    <w:rsid w:val="00ED7282"/>
    <w:rsid w:val="00ED7BA0"/>
    <w:rsid w:val="00EE06D6"/>
    <w:rsid w:val="00EE07B1"/>
    <w:rsid w:val="00EE0F50"/>
    <w:rsid w:val="00EE3E23"/>
    <w:rsid w:val="00EE4714"/>
    <w:rsid w:val="00EE4E2E"/>
    <w:rsid w:val="00EE5897"/>
    <w:rsid w:val="00EE5C17"/>
    <w:rsid w:val="00EE5F5B"/>
    <w:rsid w:val="00EF01FF"/>
    <w:rsid w:val="00EF0A8A"/>
    <w:rsid w:val="00EF0B01"/>
    <w:rsid w:val="00EF1585"/>
    <w:rsid w:val="00EF194A"/>
    <w:rsid w:val="00EF2BF7"/>
    <w:rsid w:val="00EF4039"/>
    <w:rsid w:val="00EF47A4"/>
    <w:rsid w:val="00EF48B3"/>
    <w:rsid w:val="00EF4F6A"/>
    <w:rsid w:val="00EF5433"/>
    <w:rsid w:val="00EF63F6"/>
    <w:rsid w:val="00F002EE"/>
    <w:rsid w:val="00F00957"/>
    <w:rsid w:val="00F0124D"/>
    <w:rsid w:val="00F01583"/>
    <w:rsid w:val="00F0227A"/>
    <w:rsid w:val="00F02628"/>
    <w:rsid w:val="00F03DF3"/>
    <w:rsid w:val="00F04275"/>
    <w:rsid w:val="00F04549"/>
    <w:rsid w:val="00F04E6E"/>
    <w:rsid w:val="00F05730"/>
    <w:rsid w:val="00F07EC8"/>
    <w:rsid w:val="00F11BEC"/>
    <w:rsid w:val="00F1232C"/>
    <w:rsid w:val="00F12A04"/>
    <w:rsid w:val="00F13971"/>
    <w:rsid w:val="00F1414C"/>
    <w:rsid w:val="00F14861"/>
    <w:rsid w:val="00F15707"/>
    <w:rsid w:val="00F15D24"/>
    <w:rsid w:val="00F16093"/>
    <w:rsid w:val="00F168F2"/>
    <w:rsid w:val="00F16C83"/>
    <w:rsid w:val="00F17194"/>
    <w:rsid w:val="00F17C9F"/>
    <w:rsid w:val="00F20862"/>
    <w:rsid w:val="00F209C5"/>
    <w:rsid w:val="00F210DD"/>
    <w:rsid w:val="00F21129"/>
    <w:rsid w:val="00F218A0"/>
    <w:rsid w:val="00F22186"/>
    <w:rsid w:val="00F232A1"/>
    <w:rsid w:val="00F23324"/>
    <w:rsid w:val="00F23F32"/>
    <w:rsid w:val="00F24646"/>
    <w:rsid w:val="00F2466C"/>
    <w:rsid w:val="00F250BB"/>
    <w:rsid w:val="00F2583E"/>
    <w:rsid w:val="00F25968"/>
    <w:rsid w:val="00F25FDD"/>
    <w:rsid w:val="00F26433"/>
    <w:rsid w:val="00F26442"/>
    <w:rsid w:val="00F266D7"/>
    <w:rsid w:val="00F26F13"/>
    <w:rsid w:val="00F27E49"/>
    <w:rsid w:val="00F27FA0"/>
    <w:rsid w:val="00F3001B"/>
    <w:rsid w:val="00F31A6A"/>
    <w:rsid w:val="00F31FB5"/>
    <w:rsid w:val="00F3241A"/>
    <w:rsid w:val="00F32C59"/>
    <w:rsid w:val="00F3392B"/>
    <w:rsid w:val="00F33B73"/>
    <w:rsid w:val="00F33E52"/>
    <w:rsid w:val="00F345C9"/>
    <w:rsid w:val="00F348ED"/>
    <w:rsid w:val="00F3530E"/>
    <w:rsid w:val="00F359F2"/>
    <w:rsid w:val="00F36062"/>
    <w:rsid w:val="00F36631"/>
    <w:rsid w:val="00F366DB"/>
    <w:rsid w:val="00F36F76"/>
    <w:rsid w:val="00F37F03"/>
    <w:rsid w:val="00F4047C"/>
    <w:rsid w:val="00F4063E"/>
    <w:rsid w:val="00F4116B"/>
    <w:rsid w:val="00F42DA5"/>
    <w:rsid w:val="00F43933"/>
    <w:rsid w:val="00F43A50"/>
    <w:rsid w:val="00F43FCC"/>
    <w:rsid w:val="00F44793"/>
    <w:rsid w:val="00F44AA1"/>
    <w:rsid w:val="00F461B8"/>
    <w:rsid w:val="00F47631"/>
    <w:rsid w:val="00F477C8"/>
    <w:rsid w:val="00F47B98"/>
    <w:rsid w:val="00F47C06"/>
    <w:rsid w:val="00F47CF6"/>
    <w:rsid w:val="00F502A2"/>
    <w:rsid w:val="00F5074E"/>
    <w:rsid w:val="00F51801"/>
    <w:rsid w:val="00F51A75"/>
    <w:rsid w:val="00F51E83"/>
    <w:rsid w:val="00F52077"/>
    <w:rsid w:val="00F52FC6"/>
    <w:rsid w:val="00F53FD9"/>
    <w:rsid w:val="00F541E7"/>
    <w:rsid w:val="00F54B6D"/>
    <w:rsid w:val="00F55D67"/>
    <w:rsid w:val="00F55E77"/>
    <w:rsid w:val="00F56579"/>
    <w:rsid w:val="00F57658"/>
    <w:rsid w:val="00F607EB"/>
    <w:rsid w:val="00F61936"/>
    <w:rsid w:val="00F619BB"/>
    <w:rsid w:val="00F62239"/>
    <w:rsid w:val="00F62EC8"/>
    <w:rsid w:val="00F63263"/>
    <w:rsid w:val="00F63C7C"/>
    <w:rsid w:val="00F64205"/>
    <w:rsid w:val="00F6488E"/>
    <w:rsid w:val="00F64EE4"/>
    <w:rsid w:val="00F65209"/>
    <w:rsid w:val="00F6568F"/>
    <w:rsid w:val="00F6583B"/>
    <w:rsid w:val="00F65BA0"/>
    <w:rsid w:val="00F65E83"/>
    <w:rsid w:val="00F6703B"/>
    <w:rsid w:val="00F67523"/>
    <w:rsid w:val="00F6777D"/>
    <w:rsid w:val="00F67DE9"/>
    <w:rsid w:val="00F708BD"/>
    <w:rsid w:val="00F71369"/>
    <w:rsid w:val="00F72EF5"/>
    <w:rsid w:val="00F732BB"/>
    <w:rsid w:val="00F7371B"/>
    <w:rsid w:val="00F7412D"/>
    <w:rsid w:val="00F7440D"/>
    <w:rsid w:val="00F74598"/>
    <w:rsid w:val="00F75186"/>
    <w:rsid w:val="00F75263"/>
    <w:rsid w:val="00F75C1A"/>
    <w:rsid w:val="00F76352"/>
    <w:rsid w:val="00F76483"/>
    <w:rsid w:val="00F7676F"/>
    <w:rsid w:val="00F76DEE"/>
    <w:rsid w:val="00F775A9"/>
    <w:rsid w:val="00F77714"/>
    <w:rsid w:val="00F80B7C"/>
    <w:rsid w:val="00F8141A"/>
    <w:rsid w:val="00F81F0E"/>
    <w:rsid w:val="00F82419"/>
    <w:rsid w:val="00F82769"/>
    <w:rsid w:val="00F82BE4"/>
    <w:rsid w:val="00F8430D"/>
    <w:rsid w:val="00F8518B"/>
    <w:rsid w:val="00F86EC1"/>
    <w:rsid w:val="00F873E4"/>
    <w:rsid w:val="00F874B7"/>
    <w:rsid w:val="00F87558"/>
    <w:rsid w:val="00F87765"/>
    <w:rsid w:val="00F878FD"/>
    <w:rsid w:val="00F879DA"/>
    <w:rsid w:val="00F9057E"/>
    <w:rsid w:val="00F91823"/>
    <w:rsid w:val="00F927E9"/>
    <w:rsid w:val="00F937CD"/>
    <w:rsid w:val="00F94AD1"/>
    <w:rsid w:val="00F94B29"/>
    <w:rsid w:val="00F96554"/>
    <w:rsid w:val="00F96B6D"/>
    <w:rsid w:val="00F977AE"/>
    <w:rsid w:val="00F97872"/>
    <w:rsid w:val="00FA03C5"/>
    <w:rsid w:val="00FA07A9"/>
    <w:rsid w:val="00FA0C9B"/>
    <w:rsid w:val="00FA0F95"/>
    <w:rsid w:val="00FA10CB"/>
    <w:rsid w:val="00FA1273"/>
    <w:rsid w:val="00FA2275"/>
    <w:rsid w:val="00FA3DA6"/>
    <w:rsid w:val="00FA45C1"/>
    <w:rsid w:val="00FA4B8B"/>
    <w:rsid w:val="00FA5111"/>
    <w:rsid w:val="00FA557C"/>
    <w:rsid w:val="00FA67DC"/>
    <w:rsid w:val="00FA7708"/>
    <w:rsid w:val="00FA7853"/>
    <w:rsid w:val="00FA7D3C"/>
    <w:rsid w:val="00FB0343"/>
    <w:rsid w:val="00FB1228"/>
    <w:rsid w:val="00FB1AB9"/>
    <w:rsid w:val="00FB1C7A"/>
    <w:rsid w:val="00FB1CD4"/>
    <w:rsid w:val="00FB1CE6"/>
    <w:rsid w:val="00FB26BB"/>
    <w:rsid w:val="00FB2C09"/>
    <w:rsid w:val="00FB334F"/>
    <w:rsid w:val="00FB3416"/>
    <w:rsid w:val="00FB4139"/>
    <w:rsid w:val="00FB6E8B"/>
    <w:rsid w:val="00FB6F25"/>
    <w:rsid w:val="00FB700B"/>
    <w:rsid w:val="00FB7165"/>
    <w:rsid w:val="00FC068A"/>
    <w:rsid w:val="00FC0B65"/>
    <w:rsid w:val="00FC12CF"/>
    <w:rsid w:val="00FC16EA"/>
    <w:rsid w:val="00FC237F"/>
    <w:rsid w:val="00FC2394"/>
    <w:rsid w:val="00FC2B3A"/>
    <w:rsid w:val="00FC31CD"/>
    <w:rsid w:val="00FC330A"/>
    <w:rsid w:val="00FC33EB"/>
    <w:rsid w:val="00FC3A64"/>
    <w:rsid w:val="00FC3BE6"/>
    <w:rsid w:val="00FC3C7E"/>
    <w:rsid w:val="00FC465E"/>
    <w:rsid w:val="00FC6156"/>
    <w:rsid w:val="00FC615B"/>
    <w:rsid w:val="00FC7570"/>
    <w:rsid w:val="00FC79DF"/>
    <w:rsid w:val="00FD0FE9"/>
    <w:rsid w:val="00FD1D9B"/>
    <w:rsid w:val="00FD248B"/>
    <w:rsid w:val="00FD2826"/>
    <w:rsid w:val="00FD2FD0"/>
    <w:rsid w:val="00FD30E0"/>
    <w:rsid w:val="00FD3226"/>
    <w:rsid w:val="00FD3515"/>
    <w:rsid w:val="00FD3E58"/>
    <w:rsid w:val="00FD4010"/>
    <w:rsid w:val="00FD42A3"/>
    <w:rsid w:val="00FD43F1"/>
    <w:rsid w:val="00FD5996"/>
    <w:rsid w:val="00FD5AF6"/>
    <w:rsid w:val="00FD5BB9"/>
    <w:rsid w:val="00FD6641"/>
    <w:rsid w:val="00FE0447"/>
    <w:rsid w:val="00FE1337"/>
    <w:rsid w:val="00FE13CB"/>
    <w:rsid w:val="00FE2AE2"/>
    <w:rsid w:val="00FE31B1"/>
    <w:rsid w:val="00FE3B71"/>
    <w:rsid w:val="00FE5095"/>
    <w:rsid w:val="00FE523B"/>
    <w:rsid w:val="00FE5A0F"/>
    <w:rsid w:val="00FE5A54"/>
    <w:rsid w:val="00FE5EA0"/>
    <w:rsid w:val="00FE62AD"/>
    <w:rsid w:val="00FE7C22"/>
    <w:rsid w:val="00FE7E1F"/>
    <w:rsid w:val="00FE7F76"/>
    <w:rsid w:val="00FF117B"/>
    <w:rsid w:val="00FF1459"/>
    <w:rsid w:val="00FF2792"/>
    <w:rsid w:val="00FF3511"/>
    <w:rsid w:val="00FF4537"/>
    <w:rsid w:val="00FF4613"/>
    <w:rsid w:val="00FF4817"/>
    <w:rsid w:val="00FF5A99"/>
    <w:rsid w:val="00FF5B95"/>
    <w:rsid w:val="00FF5D74"/>
    <w:rsid w:val="00FF6C56"/>
    <w:rsid w:val="00FF7026"/>
    <w:rsid w:val="00FF72D7"/>
    <w:rsid w:val="00FF7397"/>
    <w:rsid w:val="00FF770C"/>
    <w:rsid w:val="03250793"/>
    <w:rsid w:val="0E452476"/>
    <w:rsid w:val="12C92D27"/>
    <w:rsid w:val="17525CC3"/>
    <w:rsid w:val="179C6CCA"/>
    <w:rsid w:val="19C74A3D"/>
    <w:rsid w:val="1C5128F1"/>
    <w:rsid w:val="1F4E7296"/>
    <w:rsid w:val="21F174C7"/>
    <w:rsid w:val="225E1C6F"/>
    <w:rsid w:val="23A46537"/>
    <w:rsid w:val="26770328"/>
    <w:rsid w:val="295264D7"/>
    <w:rsid w:val="2B2960DD"/>
    <w:rsid w:val="2B316D6D"/>
    <w:rsid w:val="2DD14D37"/>
    <w:rsid w:val="2E4B0093"/>
    <w:rsid w:val="343A59E8"/>
    <w:rsid w:val="35BC0384"/>
    <w:rsid w:val="3A0D38CD"/>
    <w:rsid w:val="3B0D3ED0"/>
    <w:rsid w:val="3D0038A0"/>
    <w:rsid w:val="3E2C300D"/>
    <w:rsid w:val="3E815906"/>
    <w:rsid w:val="43625B18"/>
    <w:rsid w:val="459A58F4"/>
    <w:rsid w:val="47000F3D"/>
    <w:rsid w:val="478046DF"/>
    <w:rsid w:val="4795557D"/>
    <w:rsid w:val="4AAF2318"/>
    <w:rsid w:val="4DB35FF9"/>
    <w:rsid w:val="4E7E71EB"/>
    <w:rsid w:val="4FC426AB"/>
    <w:rsid w:val="51257467"/>
    <w:rsid w:val="51736214"/>
    <w:rsid w:val="52BC71EB"/>
    <w:rsid w:val="55796226"/>
    <w:rsid w:val="56155247"/>
    <w:rsid w:val="59707714"/>
    <w:rsid w:val="5BD76A3D"/>
    <w:rsid w:val="5D6E585A"/>
    <w:rsid w:val="5D8E2419"/>
    <w:rsid w:val="5E374243"/>
    <w:rsid w:val="640F1DF1"/>
    <w:rsid w:val="690525DD"/>
    <w:rsid w:val="6C057667"/>
    <w:rsid w:val="6D966B59"/>
    <w:rsid w:val="6DF22BF8"/>
    <w:rsid w:val="6F663551"/>
    <w:rsid w:val="756B0CB3"/>
    <w:rsid w:val="7B2D07A7"/>
    <w:rsid w:val="7BC41D50"/>
    <w:rsid w:val="7C856FD6"/>
    <w:rsid w:val="7D464F55"/>
    <w:rsid w:val="7FA858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outlineLvl w:val="0"/>
    </w:pPr>
    <w:rPr>
      <w:rFonts w:eastAsia="黑体"/>
      <w:b/>
      <w:kern w:val="44"/>
      <w:sz w:val="24"/>
      <w:szCs w:val="20"/>
    </w:rPr>
  </w:style>
  <w:style w:type="paragraph" w:styleId="3">
    <w:name w:val="heading 2"/>
    <w:basedOn w:val="1"/>
    <w:next w:val="1"/>
    <w:link w:val="48"/>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line="360" w:lineRule="auto"/>
      <w:outlineLvl w:val="2"/>
    </w:pPr>
    <w:rPr>
      <w:bCs/>
      <w:sz w:val="24"/>
      <w:szCs w:val="32"/>
    </w:rPr>
  </w:style>
  <w:style w:type="paragraph" w:styleId="5">
    <w:name w:val="heading 4"/>
    <w:basedOn w:val="1"/>
    <w:next w:val="1"/>
    <w:link w:val="6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qFormat/>
    <w:uiPriority w:val="0"/>
    <w:pPr>
      <w:keepNext/>
      <w:ind w:firstLine="3360" w:firstLineChars="400"/>
      <w:outlineLvl w:val="4"/>
    </w:pPr>
    <w:rPr>
      <w:rFonts w:ascii="宋体" w:hAnsi="宋体"/>
      <w:bCs/>
      <w:color w:val="000000"/>
      <w:sz w:val="84"/>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7">
    <w:name w:val="Document Map"/>
    <w:basedOn w:val="1"/>
    <w:semiHidden/>
    <w:uiPriority w:val="0"/>
    <w:pPr>
      <w:shd w:val="clear" w:color="auto" w:fill="000080"/>
    </w:pPr>
  </w:style>
  <w:style w:type="paragraph" w:styleId="8">
    <w:name w:val="annotation text"/>
    <w:basedOn w:val="1"/>
    <w:link w:val="74"/>
    <w:qFormat/>
    <w:uiPriority w:val="99"/>
    <w:pPr>
      <w:jc w:val="left"/>
    </w:pPr>
  </w:style>
  <w:style w:type="paragraph" w:styleId="9">
    <w:name w:val="Body Text Indent"/>
    <w:basedOn w:val="1"/>
    <w:uiPriority w:val="0"/>
    <w:pPr>
      <w:spacing w:line="360" w:lineRule="auto"/>
      <w:ind w:firstLine="480"/>
    </w:pPr>
    <w:rPr>
      <w:sz w:val="24"/>
    </w:rPr>
  </w:style>
  <w:style w:type="paragraph" w:styleId="10">
    <w:name w:val="toc 3"/>
    <w:basedOn w:val="1"/>
    <w:next w:val="1"/>
    <w:qFormat/>
    <w:uiPriority w:val="39"/>
    <w:pPr>
      <w:tabs>
        <w:tab w:val="right" w:leader="dot" w:pos="8834"/>
      </w:tabs>
      <w:spacing w:line="360" w:lineRule="auto"/>
    </w:pPr>
  </w:style>
  <w:style w:type="paragraph" w:styleId="11">
    <w:name w:val="Plain Text"/>
    <w:basedOn w:val="1"/>
    <w:uiPriority w:val="0"/>
    <w:rPr>
      <w:rFonts w:ascii="宋体" w:hAnsi="Courier New" w:cs="Courier New"/>
      <w:szCs w:val="21"/>
    </w:rPr>
  </w:style>
  <w:style w:type="paragraph" w:styleId="12">
    <w:name w:val="Date"/>
    <w:basedOn w:val="1"/>
    <w:next w:val="1"/>
    <w:qFormat/>
    <w:uiPriority w:val="0"/>
    <w:pPr>
      <w:ind w:left="100" w:leftChars="2500"/>
    </w:pPr>
  </w:style>
  <w:style w:type="paragraph" w:styleId="13">
    <w:name w:val="Balloon Text"/>
    <w:basedOn w:val="1"/>
    <w:link w:val="77"/>
    <w:qFormat/>
    <w:uiPriority w:val="99"/>
    <w:rPr>
      <w:sz w:val="18"/>
      <w:szCs w:val="18"/>
    </w:rPr>
  </w:style>
  <w:style w:type="paragraph" w:styleId="14">
    <w:name w:val="footer"/>
    <w:basedOn w:val="1"/>
    <w:link w:val="69"/>
    <w:qFormat/>
    <w:uiPriority w:val="99"/>
    <w:pPr>
      <w:tabs>
        <w:tab w:val="center" w:pos="4153"/>
        <w:tab w:val="right" w:pos="8306"/>
      </w:tabs>
      <w:snapToGrid w:val="0"/>
      <w:jc w:val="left"/>
    </w:pPr>
    <w:rPr>
      <w:sz w:val="18"/>
      <w:szCs w:val="18"/>
    </w:rPr>
  </w:style>
  <w:style w:type="paragraph" w:styleId="15">
    <w:name w:val="header"/>
    <w:basedOn w:val="1"/>
    <w:link w:val="68"/>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tabs>
        <w:tab w:val="right" w:leader="dot" w:pos="8834"/>
      </w:tabs>
      <w:spacing w:line="360" w:lineRule="auto"/>
    </w:pPr>
  </w:style>
  <w:style w:type="paragraph" w:styleId="17">
    <w:name w:val="toc 2"/>
    <w:basedOn w:val="1"/>
    <w:next w:val="1"/>
    <w:unhideWhenUsed/>
    <w:qFormat/>
    <w:uiPriority w:val="39"/>
    <w:pPr>
      <w:ind w:left="420" w:leftChars="200"/>
    </w:pPr>
  </w:style>
  <w:style w:type="paragraph" w:styleId="1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9">
    <w:name w:val="Title"/>
    <w:basedOn w:val="1"/>
    <w:next w:val="1"/>
    <w:link w:val="67"/>
    <w:qFormat/>
    <w:uiPriority w:val="10"/>
    <w:pPr>
      <w:spacing w:before="240" w:after="60"/>
      <w:jc w:val="center"/>
      <w:outlineLvl w:val="0"/>
    </w:pPr>
    <w:rPr>
      <w:rFonts w:ascii="Cambria" w:hAnsi="Cambria" w:cs="Cambria"/>
      <w:b/>
      <w:bCs/>
      <w:sz w:val="32"/>
      <w:szCs w:val="32"/>
    </w:rPr>
  </w:style>
  <w:style w:type="paragraph" w:styleId="20">
    <w:name w:val="annotation subject"/>
    <w:basedOn w:val="8"/>
    <w:next w:val="8"/>
    <w:link w:val="75"/>
    <w:qFormat/>
    <w:uiPriority w:val="99"/>
    <w:rPr>
      <w:b/>
      <w:bCs/>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qFormat/>
    <w:uiPriority w:val="0"/>
  </w:style>
  <w:style w:type="character" w:styleId="25">
    <w:name w:val="FollowedHyperlink"/>
    <w:qFormat/>
    <w:uiPriority w:val="0"/>
    <w:rPr>
      <w:color w:val="800080"/>
      <w:u w:val="single"/>
    </w:rPr>
  </w:style>
  <w:style w:type="character" w:styleId="26">
    <w:name w:val="Emphasis"/>
    <w:qFormat/>
    <w:uiPriority w:val="0"/>
    <w:rPr>
      <w:color w:val="CC0033"/>
    </w:rPr>
  </w:style>
  <w:style w:type="character" w:styleId="27">
    <w:name w:val="Hyperlink"/>
    <w:qFormat/>
    <w:uiPriority w:val="99"/>
    <w:rPr>
      <w:color w:val="0000FF"/>
      <w:u w:val="single"/>
    </w:rPr>
  </w:style>
  <w:style w:type="character" w:styleId="28">
    <w:name w:val="annotation reference"/>
    <w:qFormat/>
    <w:uiPriority w:val="99"/>
    <w:rPr>
      <w:sz w:val="21"/>
      <w:szCs w:val="21"/>
    </w:rPr>
  </w:style>
  <w:style w:type="character" w:customStyle="1" w:styleId="29">
    <w:name w:val="text-161"/>
    <w:qFormat/>
    <w:uiPriority w:val="0"/>
    <w:rPr>
      <w:b/>
      <w:bCs/>
      <w:color w:val="CC3300"/>
      <w:sz w:val="38"/>
      <w:szCs w:val="38"/>
    </w:rPr>
  </w:style>
  <w:style w:type="paragraph" w:customStyle="1" w:styleId="30">
    <w:name w:val="章标题"/>
    <w:next w:val="1"/>
    <w:qFormat/>
    <w:uiPriority w:val="0"/>
    <w:pPr>
      <w:spacing w:beforeLines="50" w:afterLines="50"/>
      <w:ind w:left="360"/>
      <w:jc w:val="both"/>
      <w:outlineLvl w:val="1"/>
    </w:pPr>
    <w:rPr>
      <w:rFonts w:ascii="黑体" w:hAnsi="Times New Roman" w:eastAsia="黑体" w:cs="Times New Roman"/>
      <w:sz w:val="21"/>
      <w:lang w:val="en-US" w:eastAsia="zh-CN" w:bidi="ar-SA"/>
    </w:rPr>
  </w:style>
  <w:style w:type="paragraph" w:customStyle="1" w:styleId="31">
    <w:name w:val="CM14"/>
    <w:basedOn w:val="32"/>
    <w:next w:val="32"/>
    <w:qFormat/>
    <w:uiPriority w:val="0"/>
    <w:pPr>
      <w:spacing w:after="238"/>
    </w:pPr>
    <w:rPr>
      <w:rFonts w:cs="Times New Roman"/>
      <w:color w:val="auto"/>
    </w:rPr>
  </w:style>
  <w:style w:type="paragraph" w:customStyle="1" w:styleId="32">
    <w:name w:val="Default"/>
    <w:qFormat/>
    <w:uiPriority w:val="0"/>
    <w:pPr>
      <w:widowControl w:val="0"/>
      <w:autoSpaceDE w:val="0"/>
      <w:autoSpaceDN w:val="0"/>
      <w:adjustRightInd w:val="0"/>
    </w:pPr>
    <w:rPr>
      <w:rFonts w:ascii="ECACFI+Arial,Bold" w:hAnsi="Times New Roman" w:eastAsia="ECACFI+Arial,Bold" w:cs="ECACFI+Arial,Bold"/>
      <w:color w:val="000000"/>
      <w:sz w:val="24"/>
      <w:szCs w:val="24"/>
      <w:lang w:val="en-US" w:eastAsia="zh-CN" w:bidi="ar-SA"/>
    </w:rPr>
  </w:style>
  <w:style w:type="paragraph" w:customStyle="1" w:styleId="33">
    <w:name w:val="CM13"/>
    <w:basedOn w:val="32"/>
    <w:next w:val="32"/>
    <w:qFormat/>
    <w:uiPriority w:val="0"/>
    <w:pPr>
      <w:spacing w:line="238" w:lineRule="atLeast"/>
    </w:pPr>
    <w:rPr>
      <w:rFonts w:cs="Times New Roman"/>
      <w:color w:val="auto"/>
    </w:rPr>
  </w:style>
  <w:style w:type="paragraph" w:customStyle="1" w:styleId="34">
    <w:name w:val="三级条标题"/>
    <w:basedOn w:val="35"/>
    <w:next w:val="1"/>
    <w:qFormat/>
    <w:uiPriority w:val="0"/>
    <w:pPr>
      <w:outlineLvl w:val="4"/>
    </w:pPr>
  </w:style>
  <w:style w:type="paragraph" w:customStyle="1" w:styleId="35">
    <w:name w:val="二级条标题"/>
    <w:basedOn w:val="36"/>
    <w:next w:val="1"/>
    <w:qFormat/>
    <w:uiPriority w:val="0"/>
    <w:pPr>
      <w:ind w:left="0"/>
      <w:jc w:val="left"/>
      <w:outlineLvl w:val="3"/>
    </w:pPr>
    <w:rPr>
      <w:sz w:val="24"/>
    </w:rPr>
  </w:style>
  <w:style w:type="paragraph" w:customStyle="1" w:styleId="36">
    <w:name w:val="一级条标题"/>
    <w:basedOn w:val="30"/>
    <w:next w:val="1"/>
    <w:qFormat/>
    <w:uiPriority w:val="0"/>
    <w:pPr>
      <w:spacing w:beforeLines="0" w:afterLines="0"/>
      <w:ind w:left="540"/>
      <w:outlineLvl w:val="2"/>
    </w:pPr>
  </w:style>
  <w:style w:type="paragraph" w:customStyle="1" w:styleId="37">
    <w:name w:val="CM15"/>
    <w:basedOn w:val="32"/>
    <w:next w:val="32"/>
    <w:qFormat/>
    <w:uiPriority w:val="0"/>
    <w:pPr>
      <w:spacing w:after="480"/>
    </w:pPr>
    <w:rPr>
      <w:rFonts w:cs="Times New Roman"/>
      <w:color w:val="auto"/>
    </w:rPr>
  </w:style>
  <w:style w:type="paragraph" w:customStyle="1" w:styleId="38">
    <w:name w:val="四级条标题"/>
    <w:basedOn w:val="34"/>
    <w:next w:val="1"/>
    <w:qFormat/>
    <w:uiPriority w:val="0"/>
    <w:pPr>
      <w:outlineLvl w:val="5"/>
    </w:pPr>
  </w:style>
  <w:style w:type="paragraph" w:customStyle="1" w:styleId="39">
    <w:name w:val="CM2"/>
    <w:basedOn w:val="32"/>
    <w:next w:val="32"/>
    <w:qFormat/>
    <w:uiPriority w:val="0"/>
    <w:pPr>
      <w:spacing w:line="238" w:lineRule="atLeast"/>
    </w:pPr>
    <w:rPr>
      <w:rFonts w:cs="Times New Roman"/>
      <w:color w:val="auto"/>
    </w:rPr>
  </w:style>
  <w:style w:type="paragraph" w:customStyle="1" w:styleId="40">
    <w:name w:val="段"/>
    <w:link w:val="7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1">
    <w:name w:val="CM5"/>
    <w:basedOn w:val="32"/>
    <w:next w:val="32"/>
    <w:qFormat/>
    <w:uiPriority w:val="0"/>
    <w:pPr>
      <w:spacing w:line="238" w:lineRule="atLeast"/>
    </w:pPr>
    <w:rPr>
      <w:rFonts w:cs="Times New Roman"/>
      <w:color w:val="auto"/>
    </w:rPr>
  </w:style>
  <w:style w:type="paragraph" w:customStyle="1" w:styleId="4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3">
    <w:name w:val="CM1"/>
    <w:basedOn w:val="32"/>
    <w:next w:val="32"/>
    <w:qFormat/>
    <w:uiPriority w:val="0"/>
    <w:rPr>
      <w:rFonts w:cs="Times New Roman"/>
      <w:color w:val="auto"/>
    </w:rPr>
  </w:style>
  <w:style w:type="paragraph" w:customStyle="1" w:styleId="44">
    <w:name w:val="五级条标题"/>
    <w:basedOn w:val="38"/>
    <w:next w:val="1"/>
    <w:qFormat/>
    <w:uiPriority w:val="0"/>
    <w:pPr>
      <w:outlineLvl w:val="6"/>
    </w:pPr>
  </w:style>
  <w:style w:type="paragraph" w:customStyle="1" w:styleId="45">
    <w:name w:val="Example"/>
    <w:basedOn w:val="1"/>
    <w:next w:val="1"/>
    <w:qFormat/>
    <w:uiPriority w:val="0"/>
    <w:pPr>
      <w:widowControl/>
      <w:tabs>
        <w:tab w:val="left" w:pos="1360"/>
      </w:tabs>
      <w:spacing w:after="240" w:line="209" w:lineRule="auto"/>
    </w:pPr>
    <w:rPr>
      <w:rFonts w:ascii="Arial" w:hAnsi="Arial"/>
      <w:kern w:val="0"/>
      <w:sz w:val="18"/>
      <w:szCs w:val="20"/>
      <w:lang w:val="en-GB" w:eastAsia="en-GB"/>
    </w:rPr>
  </w:style>
  <w:style w:type="paragraph" w:customStyle="1" w:styleId="46">
    <w:name w:val="Char Char Char Char Char Char Char Char Char Char Char Char Char"/>
    <w:basedOn w:val="1"/>
    <w:qFormat/>
    <w:uiPriority w:val="0"/>
    <w:pPr>
      <w:snapToGrid w:val="0"/>
      <w:spacing w:line="360" w:lineRule="auto"/>
      <w:ind w:firstLine="200" w:firstLineChars="200"/>
    </w:pPr>
    <w:rPr>
      <w:rFonts w:eastAsia="仿宋_GB2312"/>
      <w:sz w:val="24"/>
    </w:rPr>
  </w:style>
  <w:style w:type="character" w:customStyle="1" w:styleId="47">
    <w:name w:val="apple-converted-space"/>
    <w:basedOn w:val="23"/>
    <w:qFormat/>
    <w:uiPriority w:val="0"/>
  </w:style>
  <w:style w:type="character" w:customStyle="1" w:styleId="48">
    <w:name w:val="标题 2 字符"/>
    <w:link w:val="3"/>
    <w:semiHidden/>
    <w:qFormat/>
    <w:uiPriority w:val="9"/>
    <w:rPr>
      <w:rFonts w:ascii="Cambria" w:hAnsi="Cambria" w:eastAsia="宋体" w:cs="Times New Roman"/>
      <w:b/>
      <w:bCs/>
      <w:kern w:val="2"/>
      <w:sz w:val="32"/>
      <w:szCs w:val="32"/>
    </w:rPr>
  </w:style>
  <w:style w:type="paragraph" w:styleId="49">
    <w:name w:val="List Paragraph"/>
    <w:basedOn w:val="1"/>
    <w:qFormat/>
    <w:uiPriority w:val="34"/>
    <w:pPr>
      <w:ind w:firstLine="420" w:firstLineChars="200"/>
    </w:pPr>
    <w:rPr>
      <w:rFonts w:ascii="Calibri" w:hAnsi="Calibri"/>
      <w:szCs w:val="22"/>
    </w:rPr>
  </w:style>
  <w:style w:type="paragraph" w:customStyle="1" w:styleId="50">
    <w:name w:val="Char"/>
    <w:basedOn w:val="1"/>
    <w:qFormat/>
    <w:uiPriority w:val="0"/>
    <w:pPr>
      <w:widowControl/>
      <w:spacing w:after="160" w:line="240" w:lineRule="exact"/>
      <w:jc w:val="left"/>
    </w:pPr>
    <w:rPr>
      <w:rFonts w:ascii="Verdana" w:hAnsi="Verdana" w:eastAsia="仿宋_GB2312" w:cs="Verdana"/>
      <w:kern w:val="0"/>
      <w:sz w:val="24"/>
      <w:lang w:eastAsia="en-US"/>
    </w:rPr>
  </w:style>
  <w:style w:type="paragraph" w:customStyle="1" w:styleId="51">
    <w:name w:val="TOC 标题1"/>
    <w:basedOn w:val="2"/>
    <w:next w:val="1"/>
    <w:semiHidden/>
    <w:unhideWhenUsed/>
    <w:qFormat/>
    <w:uiPriority w:val="39"/>
    <w:pPr>
      <w:widowControl/>
      <w:spacing w:before="480" w:after="0" w:line="276" w:lineRule="auto"/>
      <w:jc w:val="left"/>
      <w:outlineLvl w:val="9"/>
    </w:pPr>
    <w:rPr>
      <w:rFonts w:ascii="Cambria" w:hAnsi="Cambria" w:eastAsia="宋体"/>
      <w:bCs/>
      <w:color w:val="365F91"/>
      <w:kern w:val="0"/>
      <w:sz w:val="28"/>
      <w:szCs w:val="28"/>
    </w:rPr>
  </w:style>
  <w:style w:type="character" w:styleId="52">
    <w:name w:val="Placeholder Text"/>
    <w:basedOn w:val="23"/>
    <w:semiHidden/>
    <w:qFormat/>
    <w:uiPriority w:val="99"/>
    <w:rPr>
      <w:color w:val="808080"/>
    </w:rPr>
  </w:style>
  <w:style w:type="paragraph" w:customStyle="1" w:styleId="53">
    <w:name w:val="标准文件_段"/>
    <w:link w:val="6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4">
    <w:name w:val="标准文件_二级条标题"/>
    <w:next w:val="53"/>
    <w:qFormat/>
    <w:uiPriority w:val="0"/>
    <w:pPr>
      <w:widowControl w:val="0"/>
      <w:spacing w:beforeLines="50" w:afterLines="50"/>
      <w:jc w:val="both"/>
      <w:outlineLvl w:val="2"/>
    </w:pPr>
    <w:rPr>
      <w:rFonts w:ascii="黑体" w:hAnsi="Times New Roman" w:eastAsia="黑体" w:cs="Times New Roman"/>
      <w:sz w:val="21"/>
      <w:lang w:val="en-US" w:eastAsia="zh-CN" w:bidi="ar-SA"/>
    </w:rPr>
  </w:style>
  <w:style w:type="paragraph" w:customStyle="1" w:styleId="55">
    <w:name w:val="标准文件_三级条标题"/>
    <w:basedOn w:val="54"/>
    <w:next w:val="53"/>
    <w:qFormat/>
    <w:uiPriority w:val="0"/>
    <w:pPr>
      <w:widowControl/>
      <w:outlineLvl w:val="3"/>
    </w:pPr>
  </w:style>
  <w:style w:type="paragraph" w:customStyle="1" w:styleId="56">
    <w:name w:val="标准文件_四级条标题"/>
    <w:next w:val="53"/>
    <w:qFormat/>
    <w:uiPriority w:val="0"/>
    <w:pPr>
      <w:widowControl w:val="0"/>
      <w:spacing w:beforeLines="50" w:afterLines="50"/>
      <w:jc w:val="both"/>
      <w:outlineLvl w:val="4"/>
    </w:pPr>
    <w:rPr>
      <w:rFonts w:ascii="黑体" w:hAnsi="Times New Roman" w:eastAsia="黑体" w:cs="Times New Roman"/>
      <w:sz w:val="21"/>
      <w:lang w:val="en-US" w:eastAsia="zh-CN" w:bidi="ar-SA"/>
    </w:rPr>
  </w:style>
  <w:style w:type="paragraph" w:customStyle="1" w:styleId="57">
    <w:name w:val="标准文件_五级条标题"/>
    <w:next w:val="53"/>
    <w:qFormat/>
    <w:uiPriority w:val="0"/>
    <w:pPr>
      <w:widowControl w:val="0"/>
      <w:spacing w:beforeLines="50" w:afterLines="50"/>
      <w:jc w:val="both"/>
      <w:outlineLvl w:val="5"/>
    </w:pPr>
    <w:rPr>
      <w:rFonts w:ascii="黑体" w:hAnsi="Times New Roman" w:eastAsia="黑体" w:cs="Times New Roman"/>
      <w:sz w:val="21"/>
      <w:lang w:val="en-US" w:eastAsia="zh-CN" w:bidi="ar-SA"/>
    </w:rPr>
  </w:style>
  <w:style w:type="paragraph" w:customStyle="1" w:styleId="58">
    <w:name w:val="标准文件_章标题"/>
    <w:next w:val="53"/>
    <w:qFormat/>
    <w:uiPriority w:val="0"/>
    <w:pPr>
      <w:spacing w:beforeLines="100" w:afterLines="100"/>
      <w:jc w:val="both"/>
      <w:outlineLvl w:val="0"/>
    </w:pPr>
    <w:rPr>
      <w:rFonts w:ascii="黑体" w:hAnsi="Times New Roman" w:eastAsia="黑体" w:cs="Times New Roman"/>
      <w:sz w:val="21"/>
      <w:lang w:val="en-US" w:eastAsia="zh-CN" w:bidi="ar-SA"/>
    </w:rPr>
  </w:style>
  <w:style w:type="paragraph" w:customStyle="1" w:styleId="59">
    <w:name w:val="标准文件_一级条标题"/>
    <w:basedOn w:val="58"/>
    <w:next w:val="53"/>
    <w:qFormat/>
    <w:uiPriority w:val="0"/>
    <w:pPr>
      <w:spacing w:beforeLines="50" w:afterLines="50"/>
      <w:outlineLvl w:val="1"/>
    </w:pPr>
  </w:style>
  <w:style w:type="paragraph" w:customStyle="1" w:styleId="60">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61">
    <w:name w:val="标准文件_注："/>
    <w:next w:val="53"/>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character" w:customStyle="1" w:styleId="62">
    <w:name w:val="标准文件_段 Char"/>
    <w:link w:val="53"/>
    <w:qFormat/>
    <w:uiPriority w:val="0"/>
    <w:rPr>
      <w:rFonts w:ascii="宋体"/>
      <w:sz w:val="21"/>
    </w:rPr>
  </w:style>
  <w:style w:type="paragraph" w:customStyle="1" w:styleId="63">
    <w:name w:val="标准文件_术语条一"/>
    <w:basedOn w:val="1"/>
    <w:next w:val="53"/>
    <w:qFormat/>
    <w:uiPriority w:val="0"/>
    <w:pPr>
      <w:widowControl/>
    </w:pPr>
    <w:rPr>
      <w:rFonts w:ascii="宋体"/>
      <w:kern w:val="0"/>
      <w:szCs w:val="20"/>
    </w:rPr>
  </w:style>
  <w:style w:type="paragraph" w:customStyle="1" w:styleId="64">
    <w:name w:val="修订1"/>
    <w:hidden/>
    <w:qFormat/>
    <w:uiPriority w:val="99"/>
    <w:rPr>
      <w:rFonts w:ascii="Times New Roman" w:hAnsi="Times New Roman" w:eastAsia="宋体" w:cs="Times New Roman"/>
      <w:kern w:val="2"/>
      <w:sz w:val="21"/>
      <w:szCs w:val="24"/>
      <w:lang w:val="en-US" w:eastAsia="zh-CN" w:bidi="ar-SA"/>
    </w:rPr>
  </w:style>
  <w:style w:type="character" w:customStyle="1" w:styleId="65">
    <w:name w:val="未处理的提及1"/>
    <w:basedOn w:val="23"/>
    <w:semiHidden/>
    <w:unhideWhenUsed/>
    <w:qFormat/>
    <w:uiPriority w:val="99"/>
    <w:rPr>
      <w:color w:val="605E5C"/>
      <w:shd w:val="clear" w:color="auto" w:fill="E1DFDD"/>
    </w:rPr>
  </w:style>
  <w:style w:type="character" w:customStyle="1" w:styleId="66">
    <w:name w:val="标题 4 字符"/>
    <w:basedOn w:val="23"/>
    <w:link w:val="5"/>
    <w:semiHidden/>
    <w:qFormat/>
    <w:uiPriority w:val="9"/>
    <w:rPr>
      <w:rFonts w:asciiTheme="majorHAnsi" w:hAnsiTheme="majorHAnsi" w:eastAsiaTheme="majorEastAsia" w:cstheme="majorBidi"/>
      <w:b/>
      <w:bCs/>
      <w:kern w:val="2"/>
      <w:sz w:val="28"/>
      <w:szCs w:val="28"/>
    </w:rPr>
  </w:style>
  <w:style w:type="character" w:customStyle="1" w:styleId="67">
    <w:name w:val="标题 字符"/>
    <w:basedOn w:val="23"/>
    <w:link w:val="19"/>
    <w:qFormat/>
    <w:uiPriority w:val="10"/>
    <w:rPr>
      <w:rFonts w:ascii="Cambria" w:hAnsi="Cambria" w:cs="Cambria"/>
      <w:b/>
      <w:bCs/>
      <w:kern w:val="2"/>
      <w:sz w:val="32"/>
      <w:szCs w:val="32"/>
    </w:rPr>
  </w:style>
  <w:style w:type="character" w:customStyle="1" w:styleId="68">
    <w:name w:val="页眉 字符"/>
    <w:basedOn w:val="23"/>
    <w:link w:val="15"/>
    <w:qFormat/>
    <w:uiPriority w:val="0"/>
    <w:rPr>
      <w:kern w:val="2"/>
      <w:sz w:val="18"/>
      <w:szCs w:val="18"/>
    </w:rPr>
  </w:style>
  <w:style w:type="character" w:customStyle="1" w:styleId="69">
    <w:name w:val="页脚 字符"/>
    <w:basedOn w:val="23"/>
    <w:link w:val="14"/>
    <w:qFormat/>
    <w:uiPriority w:val="99"/>
    <w:rPr>
      <w:kern w:val="2"/>
      <w:sz w:val="18"/>
      <w:szCs w:val="18"/>
    </w:rPr>
  </w:style>
  <w:style w:type="character" w:customStyle="1" w:styleId="70">
    <w:name w:val="标题 2 字符1"/>
    <w:qFormat/>
    <w:uiPriority w:val="0"/>
    <w:rPr>
      <w:rFonts w:ascii="Arial" w:hAnsi="Arial" w:eastAsia="黑体" w:cs="Times New Roman"/>
      <w:b/>
      <w:kern w:val="0"/>
      <w:sz w:val="32"/>
      <w:szCs w:val="20"/>
      <w:lang w:val="zh-CN" w:eastAsia="zh-CN"/>
    </w:rPr>
  </w:style>
  <w:style w:type="character" w:customStyle="1" w:styleId="71">
    <w:name w:val="段 Char Char"/>
    <w:link w:val="40"/>
    <w:qFormat/>
    <w:uiPriority w:val="0"/>
    <w:rPr>
      <w:rFonts w:ascii="宋体"/>
      <w:sz w:val="21"/>
    </w:rPr>
  </w:style>
  <w:style w:type="paragraph" w:customStyle="1" w:styleId="72">
    <w:name w:val="src"/>
    <w:basedOn w:val="1"/>
    <w:qFormat/>
    <w:uiPriority w:val="0"/>
    <w:pPr>
      <w:widowControl/>
      <w:spacing w:before="100" w:beforeAutospacing="1" w:after="100" w:afterAutospacing="1"/>
      <w:jc w:val="left"/>
    </w:pPr>
    <w:rPr>
      <w:rFonts w:ascii="宋体" w:hAnsi="宋体" w:cs="宋体"/>
      <w:kern w:val="0"/>
      <w:sz w:val="24"/>
    </w:rPr>
  </w:style>
  <w:style w:type="paragraph" w:customStyle="1" w:styleId="73">
    <w:name w:val="目录 11"/>
    <w:basedOn w:val="1"/>
    <w:next w:val="1"/>
    <w:unhideWhenUsed/>
    <w:qFormat/>
    <w:uiPriority w:val="39"/>
    <w:pPr>
      <w:tabs>
        <w:tab w:val="right" w:leader="dot" w:pos="9498"/>
      </w:tabs>
      <w:snapToGrid w:val="0"/>
      <w:spacing w:line="360" w:lineRule="auto"/>
    </w:pPr>
    <w:rPr>
      <w:rFonts w:ascii="宋体" w:hAnsi="宋体"/>
      <w:bCs/>
      <w:sz w:val="24"/>
    </w:rPr>
  </w:style>
  <w:style w:type="character" w:customStyle="1" w:styleId="74">
    <w:name w:val="批注文字 字符"/>
    <w:basedOn w:val="23"/>
    <w:link w:val="8"/>
    <w:qFormat/>
    <w:uiPriority w:val="99"/>
    <w:rPr>
      <w:kern w:val="2"/>
      <w:sz w:val="21"/>
      <w:szCs w:val="24"/>
    </w:rPr>
  </w:style>
  <w:style w:type="character" w:customStyle="1" w:styleId="75">
    <w:name w:val="批注主题 字符"/>
    <w:basedOn w:val="74"/>
    <w:link w:val="20"/>
    <w:qFormat/>
    <w:uiPriority w:val="99"/>
    <w:rPr>
      <w:b/>
      <w:bCs/>
      <w:kern w:val="2"/>
      <w:sz w:val="21"/>
      <w:szCs w:val="24"/>
    </w:rPr>
  </w:style>
  <w:style w:type="paragraph" w:customStyle="1" w:styleId="76">
    <w:name w:val="修订11"/>
    <w:hidden/>
    <w:semiHidden/>
    <w:qFormat/>
    <w:uiPriority w:val="99"/>
    <w:rPr>
      <w:rFonts w:ascii="Times New Roman" w:hAnsi="Times New Roman" w:eastAsia="宋体" w:cs="Times New Roman"/>
      <w:kern w:val="2"/>
      <w:sz w:val="21"/>
      <w:lang w:val="en-US" w:eastAsia="zh-CN" w:bidi="ar-SA"/>
    </w:rPr>
  </w:style>
  <w:style w:type="character" w:customStyle="1" w:styleId="77">
    <w:name w:val="批注框文本 字符"/>
    <w:basedOn w:val="23"/>
    <w:link w:val="13"/>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oleObject" Target="embeddings/oleObject2.bin"/><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wmf"/><Relationship Id="rId17" Type="http://schemas.openxmlformats.org/officeDocument/2006/relationships/oleObject" Target="embeddings/oleObject1.bin"/><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734C60-7661-4E83-BB15-E29B87E5DB7E}">
  <ds:schemaRefs/>
</ds:datastoreItem>
</file>

<file path=docProps/app.xml><?xml version="1.0" encoding="utf-8"?>
<Properties xmlns="http://schemas.openxmlformats.org/officeDocument/2006/extended-properties" xmlns:vt="http://schemas.openxmlformats.org/officeDocument/2006/docPropsVTypes">
  <Template>Normal</Template>
  <Company>ss</Company>
  <Pages>27</Pages>
  <Words>8479</Words>
  <Characters>9991</Characters>
  <Lines>105</Lines>
  <Paragraphs>29</Paragraphs>
  <TotalTime>228</TotalTime>
  <ScaleCrop>false</ScaleCrop>
  <LinksUpToDate>false</LinksUpToDate>
  <CharactersWithSpaces>11040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2024-09-26T06:32:00Z</dcterms:created>
  <dc:creator>wang chi</dc:creator>
  <cp:lastModifiedBy>Bruis Kim</cp:lastModifiedBy>
  <cp:lastPrinted>2024-11-01T03:11:00Z</cp:lastPrinted>
  <dcterms:modified xsi:type="dcterms:W3CDTF">2024-11-04T08:38:52Z</dcterms:modified>
  <dc:title>液体流量计量器具检定系统表</dc:title>
  <cp:revision>313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CCBBD6978D6F477DB3F86A4F14BF6133</vt:lpwstr>
  </property>
</Properties>
</file>